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华文中宋" w:eastAsia="方正小标宋简体" w:cs="华文中宋"/>
          <w:bCs/>
          <w:sz w:val="44"/>
          <w:szCs w:val="44"/>
        </w:rPr>
      </w:pPr>
      <w:r>
        <w:rPr>
          <w:rFonts w:hint="eastAsia" w:ascii="方正小标宋简体" w:hAnsi="华文中宋" w:eastAsia="方正小标宋简体" w:cs="华文中宋"/>
          <w:bCs/>
          <w:sz w:val="44"/>
          <w:szCs w:val="44"/>
        </w:rPr>
        <w:t>中山大学外国语学院研究生奖</w:t>
      </w:r>
      <w:r>
        <w:rPr>
          <w:rFonts w:ascii="方正小标宋简体" w:hAnsi="华文中宋" w:eastAsia="方正小标宋简体" w:cs="华文中宋"/>
          <w:bCs/>
          <w:sz w:val="44"/>
          <w:szCs w:val="44"/>
        </w:rPr>
        <w:t>助金</w:t>
      </w:r>
      <w:r>
        <w:rPr>
          <w:rFonts w:hint="eastAsia" w:ascii="方正小标宋简体" w:hAnsi="华文中宋" w:eastAsia="方正小标宋简体" w:cs="华文中宋"/>
          <w:bCs/>
          <w:sz w:val="44"/>
          <w:szCs w:val="44"/>
        </w:rPr>
        <w:t>管理实施</w:t>
      </w:r>
    </w:p>
    <w:p>
      <w:pPr>
        <w:jc w:val="center"/>
        <w:rPr>
          <w:rFonts w:ascii="方正小标宋简体" w:hAnsi="华文中宋" w:eastAsia="方正小标宋简体" w:cs="华文中宋"/>
          <w:bCs/>
          <w:sz w:val="44"/>
          <w:szCs w:val="44"/>
        </w:rPr>
      </w:pPr>
      <w:r>
        <w:rPr>
          <w:rFonts w:hint="eastAsia" w:ascii="方正小标宋简体" w:hAnsi="华文中宋" w:eastAsia="方正小标宋简体" w:cs="华文中宋"/>
          <w:bCs/>
          <w:sz w:val="44"/>
          <w:szCs w:val="44"/>
        </w:rPr>
        <w:t>细则（20</w:t>
      </w:r>
      <w:r>
        <w:rPr>
          <w:rFonts w:ascii="方正小标宋简体" w:hAnsi="华文中宋" w:eastAsia="方正小标宋简体" w:cs="华文中宋"/>
          <w:bCs/>
          <w:sz w:val="44"/>
          <w:szCs w:val="44"/>
        </w:rPr>
        <w:t>2</w:t>
      </w:r>
      <w:r>
        <w:rPr>
          <w:rFonts w:hint="eastAsia" w:ascii="方正小标宋简体" w:hAnsi="华文中宋" w:eastAsia="方正小标宋简体" w:cs="华文中宋"/>
          <w:bCs/>
          <w:sz w:val="44"/>
          <w:szCs w:val="44"/>
          <w:highlight w:val="none"/>
        </w:rPr>
        <w:t>2</w:t>
      </w:r>
      <w:r>
        <w:rPr>
          <w:rFonts w:hint="eastAsia" w:ascii="方正小标宋简体" w:hAnsi="华文中宋" w:eastAsia="方正小标宋简体" w:cs="华文中宋"/>
          <w:bCs/>
          <w:sz w:val="44"/>
          <w:szCs w:val="44"/>
        </w:rPr>
        <w:t>年修订）</w:t>
      </w:r>
    </w:p>
    <w:p>
      <w:pPr>
        <w:jc w:val="center"/>
        <w:rPr>
          <w:rFonts w:ascii="楷体_GB2312" w:eastAsia="楷体_GB2312"/>
          <w:b/>
          <w:bCs/>
          <w:sz w:val="28"/>
          <w:szCs w:val="28"/>
        </w:rPr>
      </w:pPr>
    </w:p>
    <w:p>
      <w:pPr>
        <w:jc w:val="center"/>
        <w:rPr>
          <w:rFonts w:ascii="楷体_GB2312" w:eastAsia="楷体_GB2312"/>
          <w:b/>
          <w:bCs/>
          <w:sz w:val="28"/>
          <w:szCs w:val="28"/>
        </w:rPr>
      </w:pPr>
      <w:r>
        <w:rPr>
          <w:rFonts w:hint="eastAsia" w:ascii="黑体" w:hAnsi="黑体" w:eastAsia="黑体" w:cs="仿宋"/>
          <w:bCs/>
          <w:sz w:val="32"/>
          <w:szCs w:val="32"/>
        </w:rPr>
        <w:t>第一章 总则</w:t>
      </w:r>
    </w:p>
    <w:p>
      <w:p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为规范我院</w:t>
      </w:r>
      <w:r>
        <w:rPr>
          <w:rFonts w:ascii="仿宋" w:hAnsi="仿宋" w:eastAsia="仿宋" w:cs="仿宋"/>
          <w:sz w:val="32"/>
          <w:szCs w:val="32"/>
        </w:rPr>
        <w:t>研究生</w:t>
      </w:r>
      <w:r>
        <w:rPr>
          <w:rFonts w:hint="eastAsia" w:ascii="仿宋" w:hAnsi="仿宋" w:eastAsia="仿宋" w:cs="仿宋"/>
          <w:sz w:val="32"/>
          <w:szCs w:val="32"/>
        </w:rPr>
        <w:t>奖助金</w:t>
      </w:r>
      <w:r>
        <w:rPr>
          <w:rFonts w:ascii="仿宋" w:hAnsi="仿宋" w:eastAsia="仿宋" w:cs="仿宋"/>
          <w:sz w:val="32"/>
          <w:szCs w:val="32"/>
        </w:rPr>
        <w:t>日常管理，</w:t>
      </w:r>
      <w:r>
        <w:rPr>
          <w:rFonts w:hint="eastAsia" w:ascii="仿宋" w:hAnsi="仿宋" w:eastAsia="仿宋" w:cs="仿宋"/>
          <w:sz w:val="32"/>
          <w:szCs w:val="32"/>
        </w:rPr>
        <w:t xml:space="preserve">鼓励我院研究生勤奋学习，奋发向上，积极参加学术科研活动，关心同学，服务集体，全面提高研究生培养质量，促进研究生教育的可持续发展，根据《中山大学研究生奖助规定》（中大研院〔2022〕35号），结合我院实际情况，制定本细则。 </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 xml:space="preserve">第二条 </w:t>
      </w:r>
      <w:r>
        <w:rPr>
          <w:rFonts w:hint="eastAsia" w:ascii="仿宋" w:hAnsi="仿宋" w:eastAsia="仿宋" w:cs="仿宋"/>
          <w:sz w:val="32"/>
          <w:szCs w:val="32"/>
        </w:rPr>
        <w:t>本细则适用对象为我院纳入全国研究生招生计划且在正常学制内已注册的全日制非定向就业和专项计划定向就业但无固定工资收入的研究生。在职少数民族骨干计划研究生奖助另外执行国家有关政策。</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第三条</w:t>
      </w:r>
      <w:r>
        <w:rPr>
          <w:rFonts w:hint="eastAsia" w:ascii="仿宋" w:hAnsi="仿宋" w:eastAsia="仿宋" w:cs="仿宋"/>
          <w:sz w:val="32"/>
          <w:szCs w:val="32"/>
        </w:rPr>
        <w:t xml:space="preserve"> 第一学年度奖助金评选主要考虑申请者入学考试的初试、复试成绩，由学院研究生奖助金评选工作领导小组讨论决定。第二学年度及后续学年度奖助金评选，由学院研究生奖助金评选工作领导小组根据研究生在上一学年度的思想品行、学习成绩、科研业绩、研究进展以及实践能力（包括社会工作、获得奖励、荣誉等）进行评选，实行动态调整，能上能下。</w:t>
      </w:r>
    </w:p>
    <w:p>
      <w:pPr>
        <w:spacing w:line="360" w:lineRule="auto"/>
        <w:ind w:firstLine="643" w:firstLineChars="200"/>
        <w:rPr>
          <w:rFonts w:ascii="仿宋" w:hAnsi="仿宋" w:eastAsia="仿宋" w:cs="仿宋"/>
          <w:sz w:val="32"/>
          <w:szCs w:val="32"/>
          <w:highlight w:val="yellow"/>
        </w:rPr>
      </w:pPr>
      <w:r>
        <w:rPr>
          <w:rFonts w:hint="eastAsia" w:ascii="仿宋" w:hAnsi="仿宋" w:eastAsia="仿宋" w:cs="仿宋"/>
          <w:b/>
          <w:sz w:val="32"/>
          <w:szCs w:val="32"/>
        </w:rPr>
        <w:t>第四条</w:t>
      </w:r>
      <w:r>
        <w:rPr>
          <w:rFonts w:hint="eastAsia" w:ascii="仿宋" w:hAnsi="仿宋" w:eastAsia="仿宋" w:cs="仿宋"/>
          <w:sz w:val="32"/>
          <w:szCs w:val="32"/>
        </w:rPr>
        <w:t xml:space="preserve"> </w:t>
      </w:r>
      <w:r>
        <w:rPr>
          <w:rFonts w:hint="eastAsia" w:ascii="仿宋" w:hAnsi="仿宋" w:eastAsia="仿宋" w:cs="仿宋"/>
          <w:sz w:val="32"/>
          <w:szCs w:val="32"/>
          <w:highlight w:val="none"/>
        </w:rPr>
        <w:t>学院研究生奖助金评选工作领导小组由院长、分</w:t>
      </w:r>
      <w:r>
        <w:rPr>
          <w:rFonts w:hint="eastAsia" w:ascii="仿宋_GB2312" w:hAnsi="宋体" w:eastAsia="仿宋_GB2312" w:cs="宋体"/>
          <w:kern w:val="0"/>
          <w:sz w:val="32"/>
          <w:szCs w:val="32"/>
          <w:highlight w:val="none"/>
          <w:lang w:val="fr-FR"/>
        </w:rPr>
        <w:t>管研究生教育工作</w:t>
      </w:r>
      <w:r>
        <w:rPr>
          <w:rFonts w:hint="eastAsia" w:ascii="仿宋_GB2312" w:hAnsi="宋体" w:eastAsia="仿宋_GB2312" w:cs="宋体"/>
          <w:kern w:val="0"/>
          <w:sz w:val="32"/>
          <w:szCs w:val="32"/>
          <w:highlight w:val="none"/>
        </w:rPr>
        <w:t>的副院长</w:t>
      </w:r>
      <w:r>
        <w:rPr>
          <w:rFonts w:hint="eastAsia" w:ascii="仿宋_GB2312" w:hAnsi="宋体" w:eastAsia="仿宋_GB2312" w:cs="宋体"/>
          <w:kern w:val="0"/>
          <w:sz w:val="32"/>
          <w:szCs w:val="32"/>
          <w:highlight w:val="none"/>
          <w:lang w:val="fr-FR"/>
        </w:rPr>
        <w:t>、</w:t>
      </w:r>
      <w:r>
        <w:rPr>
          <w:rFonts w:hint="eastAsia" w:ascii="仿宋_GB2312" w:hAnsi="宋体" w:eastAsia="仿宋_GB2312" w:cs="宋体"/>
          <w:kern w:val="0"/>
          <w:sz w:val="32"/>
          <w:szCs w:val="32"/>
          <w:highlight w:val="none"/>
        </w:rPr>
        <w:t>分管学生工作的</w:t>
      </w:r>
      <w:r>
        <w:rPr>
          <w:rFonts w:hint="eastAsia" w:ascii="仿宋_GB2312" w:hAnsi="宋体" w:eastAsia="仿宋_GB2312" w:cs="宋体"/>
          <w:kern w:val="0"/>
          <w:sz w:val="32"/>
          <w:szCs w:val="32"/>
          <w:highlight w:val="none"/>
          <w:lang w:val="fr-FR"/>
        </w:rPr>
        <w:t>副书记、各</w:t>
      </w:r>
      <w:r>
        <w:rPr>
          <w:rFonts w:ascii="仿宋_GB2312" w:hAnsi="宋体" w:eastAsia="仿宋_GB2312" w:cs="宋体"/>
          <w:kern w:val="0"/>
          <w:sz w:val="32"/>
          <w:szCs w:val="32"/>
          <w:highlight w:val="none"/>
          <w:lang w:val="fr-FR"/>
        </w:rPr>
        <w:t>系主任</w:t>
      </w:r>
      <w:r>
        <w:rPr>
          <w:rFonts w:hint="eastAsia" w:ascii="仿宋_GB2312" w:hAnsi="宋体" w:eastAsia="仿宋_GB2312" w:cs="宋体"/>
          <w:kern w:val="0"/>
          <w:sz w:val="32"/>
          <w:szCs w:val="32"/>
          <w:highlight w:val="none"/>
          <w:lang w:val="fr-FR"/>
        </w:rPr>
        <w:t>、研究生教务秘书、研究生辅导员和研究生代表等组成。</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第五条</w:t>
      </w:r>
      <w:r>
        <w:rPr>
          <w:rFonts w:hint="eastAsia" w:ascii="仿宋" w:hAnsi="仿宋" w:eastAsia="仿宋" w:cs="仿宋"/>
          <w:sz w:val="32"/>
          <w:szCs w:val="32"/>
        </w:rPr>
        <w:t xml:space="preserve"> 研究生奖助金的基本申请条件为：</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1.热爱社会主义祖国，拥护中国共产党领导；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2.遵守宪法和法律，遵守学校规章制度；</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3.诚实守信，品学兼优；</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4.积极参与科学研究和社会实践；</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5.入学一年以上的研究生参评奖助金的上一学年度已达到学院培养计划所规定的学习要求，并考核合格；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6.完成学院规定的教学助理、科研助手等工作任务。</w:t>
      </w:r>
    </w:p>
    <w:p>
      <w:p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 xml:space="preserve">第六条 </w:t>
      </w:r>
      <w:r>
        <w:rPr>
          <w:rFonts w:hint="eastAsia" w:ascii="仿宋" w:hAnsi="仿宋" w:eastAsia="仿宋" w:cs="仿宋"/>
          <w:sz w:val="32"/>
          <w:szCs w:val="32"/>
        </w:rPr>
        <w:t xml:space="preserve">学生有下列情况之一者，不予资助：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1.在申请资料中弄虚作假者；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2.考试作弊或有抄袭、篡改、伪造等学术不端行为；</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3.因违反校纪校规受纪律处分者；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4.在科研或临床工作中，违反工作程序，导致严重后果者；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5.科研助手、住院医师工作考核不合格者；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6.有课程考试不及格者；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7.导师及研究生培养单位根据相关规定认定的不予资助的其他情形。</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七</w:t>
      </w:r>
      <w:r>
        <w:rPr>
          <w:rFonts w:hint="eastAsia" w:ascii="仿宋" w:hAnsi="仿宋" w:eastAsia="仿宋" w:cs="仿宋"/>
          <w:b/>
          <w:sz w:val="32"/>
          <w:szCs w:val="32"/>
        </w:rPr>
        <w:t xml:space="preserve">条 </w:t>
      </w:r>
      <w:r>
        <w:rPr>
          <w:rFonts w:hint="eastAsia" w:ascii="仿宋" w:hAnsi="仿宋" w:eastAsia="仿宋" w:cs="仿宋"/>
          <w:sz w:val="32"/>
          <w:szCs w:val="32"/>
        </w:rPr>
        <w:t>奖助金的评选程序为：个人申请→导师推荐→班级初评</w:t>
      </w:r>
      <w:r>
        <w:rPr>
          <w:rFonts w:hint="eastAsia" w:ascii="仿宋" w:hAnsi="仿宋" w:eastAsia="仿宋" w:cs="仿宋"/>
          <w:sz w:val="32"/>
          <w:szCs w:val="32"/>
          <w:highlight w:val="none"/>
        </w:rPr>
        <w:t>→争议项提请</w:t>
      </w:r>
      <w:r>
        <w:rPr>
          <w:rFonts w:hint="eastAsia" w:ascii="仿宋" w:hAnsi="仿宋" w:eastAsia="仿宋" w:cs="仿宋"/>
          <w:color w:val="auto"/>
          <w:sz w:val="32"/>
          <w:szCs w:val="32"/>
          <w:highlight w:val="none"/>
        </w:rPr>
        <w:t>学院研究生教育与学位专门委员</w:t>
      </w:r>
      <w:r>
        <w:rPr>
          <w:rFonts w:hint="eastAsia" w:ascii="仿宋" w:hAnsi="仿宋" w:eastAsia="仿宋" w:cs="仿宋"/>
          <w:sz w:val="32"/>
          <w:szCs w:val="32"/>
          <w:highlight w:val="none"/>
        </w:rPr>
        <w:t>初审</w:t>
      </w:r>
      <w:r>
        <w:rPr>
          <w:rFonts w:hint="eastAsia" w:ascii="仿宋" w:hAnsi="仿宋" w:eastAsia="仿宋" w:cs="仿宋"/>
          <w:sz w:val="32"/>
          <w:szCs w:val="32"/>
        </w:rPr>
        <w:t xml:space="preserve">→学院研究生奖助学金评审委员会评审→报学校研究生院批准。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1.第一学年度研究生奖助金的申请由考生在入学复试时提交，第二学年度研究生奖助金的申请由学生在下一学年度的秋季学期提交；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2.成立班级评奖小组，小组由班长、团支书、党员代表、学生代表组成，人数为5人；</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3.申请者向班级评奖小组提交书面申请并附相应证明材料；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4.评奖小组根据本细则对每位申请者评分，按申请者综合得分高低，确定获奖助者建议名单，报学院学生工作办公室审核；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5.学院研究生奖助金评选工作领导小组对建议名单进行讨论，确定获奖助者名单并予以公示（公示期不少于3天）；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6.学院将评定结果报学校审批。</w:t>
      </w:r>
    </w:p>
    <w:p>
      <w:pPr>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八</w:t>
      </w:r>
      <w:r>
        <w:rPr>
          <w:rFonts w:hint="eastAsia" w:ascii="仿宋" w:hAnsi="仿宋" w:eastAsia="仿宋" w:cs="仿宋"/>
          <w:b/>
          <w:sz w:val="32"/>
          <w:szCs w:val="32"/>
        </w:rPr>
        <w:t>条</w:t>
      </w:r>
      <w:r>
        <w:rPr>
          <w:rFonts w:hint="eastAsia" w:ascii="仿宋" w:hAnsi="仿宋" w:eastAsia="仿宋" w:cs="仿宋"/>
          <w:sz w:val="32"/>
          <w:szCs w:val="32"/>
        </w:rPr>
        <w:t xml:space="preserve"> 学院设立研究生奖助金评选仲裁小组，接受学生对奖助金评选工作的异议和申诉，并在5个工作日内作出答复；小组成员由学院主管学生工作、研究生教育的院领导、导师代表（同专业非申诉者本人导师）、研究生代表组成。</w:t>
      </w:r>
    </w:p>
    <w:p>
      <w:pPr>
        <w:spacing w:line="360" w:lineRule="auto"/>
        <w:ind w:firstLine="640" w:firstLineChars="200"/>
        <w:rPr>
          <w:rFonts w:hint="eastAsia" w:ascii="仿宋" w:hAnsi="仿宋" w:eastAsia="仿宋" w:cs="仿宋"/>
          <w:sz w:val="32"/>
          <w:szCs w:val="32"/>
        </w:rPr>
      </w:pPr>
      <w:bookmarkStart w:id="2" w:name="_GoBack"/>
      <w:bookmarkEnd w:id="2"/>
    </w:p>
    <w:p>
      <w:pPr>
        <w:spacing w:line="360" w:lineRule="auto"/>
        <w:ind w:firstLine="640" w:firstLineChars="200"/>
        <w:jc w:val="center"/>
        <w:rPr>
          <w:rFonts w:ascii="黑体" w:hAnsi="黑体" w:eastAsia="黑体" w:cs="仿宋"/>
          <w:sz w:val="32"/>
          <w:szCs w:val="32"/>
        </w:rPr>
      </w:pPr>
      <w:r>
        <w:rPr>
          <w:rFonts w:hint="eastAsia" w:ascii="黑体" w:hAnsi="黑体" w:eastAsia="黑体" w:cs="仿宋"/>
          <w:bCs/>
          <w:sz w:val="32"/>
          <w:szCs w:val="32"/>
        </w:rPr>
        <w:t>第二章 实施细则</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九</w:t>
      </w:r>
      <w:r>
        <w:rPr>
          <w:rFonts w:hint="eastAsia" w:ascii="仿宋" w:hAnsi="仿宋" w:eastAsia="仿宋" w:cs="仿宋"/>
          <w:b/>
          <w:sz w:val="32"/>
          <w:szCs w:val="32"/>
        </w:rPr>
        <w:t>条</w:t>
      </w:r>
      <w:r>
        <w:rPr>
          <w:rFonts w:hint="eastAsia" w:ascii="仿宋" w:hAnsi="仿宋" w:eastAsia="仿宋" w:cs="仿宋"/>
          <w:sz w:val="32"/>
          <w:szCs w:val="32"/>
        </w:rPr>
        <w:t xml:space="preserve"> 根据学校下达的文件，分配奖助金名额：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各专业以本专业实际招生人数为基础，原则上按照相同的比例分配名额。 </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第十条</w:t>
      </w:r>
      <w:r>
        <w:rPr>
          <w:rFonts w:hint="eastAsia" w:ascii="仿宋" w:hAnsi="仿宋" w:eastAsia="仿宋" w:cs="仿宋"/>
          <w:sz w:val="32"/>
          <w:szCs w:val="32"/>
        </w:rPr>
        <w:t> 申请者按照综合成绩排名评选奖助金，综合成绩=学业成绩+综合加分。学业成绩计算方法为评奖年度所修必修课和选修课平均分（以奖助金申请系统上为准）的加权平均分。</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第十一条</w:t>
      </w:r>
      <w:r>
        <w:rPr>
          <w:rFonts w:hint="eastAsia" w:ascii="仿宋" w:hAnsi="仿宋" w:eastAsia="仿宋" w:cs="仿宋"/>
          <w:sz w:val="32"/>
          <w:szCs w:val="32"/>
        </w:rPr>
        <w:t> 综合加分细则。加分内容的时限是在前一学年度开学之后到本学年度奖助金评选通知下达之前。</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（一）专业论文加分 </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rPr>
        <w:t>1</w:t>
      </w:r>
      <w:r>
        <w:rPr>
          <w:rFonts w:ascii="仿宋" w:hAnsi="仿宋" w:eastAsia="仿宋" w:cs="仿宋"/>
          <w:sz w:val="32"/>
          <w:szCs w:val="32"/>
        </w:rPr>
        <w:t xml:space="preserve">. </w:t>
      </w:r>
      <w:bookmarkStart w:id="0" w:name="OLE_LINK1"/>
      <w:bookmarkStart w:id="1" w:name="OLE_LINK2"/>
      <w:r>
        <w:rPr>
          <w:rFonts w:hint="eastAsia" w:ascii="仿宋" w:hAnsi="仿宋" w:eastAsia="仿宋" w:cs="仿宋"/>
          <w:sz w:val="32"/>
          <w:szCs w:val="32"/>
          <w:highlight w:val="none"/>
        </w:rPr>
        <w:t>专业论文加分参照《中山大学外国语学院高水平期刊指南》的期刊目录，A类期刊每篇计15分，B类期刊期刊每篇计12分，C类期刊期刊每篇计10分</w:t>
      </w:r>
      <w:bookmarkEnd w:id="0"/>
      <w:bookmarkEnd w:id="1"/>
      <w:r>
        <w:rPr>
          <w:rFonts w:hint="eastAsia" w:ascii="仿宋" w:hAnsi="仿宋" w:eastAsia="仿宋" w:cs="仿宋"/>
          <w:sz w:val="32"/>
          <w:szCs w:val="32"/>
          <w:highlight w:val="none"/>
        </w:rPr>
        <w:t>；</w:t>
      </w:r>
    </w:p>
    <w:p>
      <w:pPr>
        <w:spacing w:line="360" w:lineRule="auto"/>
        <w:rPr>
          <w:rFonts w:ascii="仿宋" w:hAnsi="仿宋" w:eastAsia="仿宋" w:cs="仿宋"/>
          <w:sz w:val="32"/>
          <w:szCs w:val="32"/>
        </w:rPr>
      </w:pPr>
      <w:r>
        <w:rPr>
          <w:rFonts w:hint="eastAsia" w:ascii="仿宋" w:hAnsi="仿宋" w:eastAsia="仿宋" w:cs="仿宋"/>
          <w:sz w:val="32"/>
          <w:szCs w:val="32"/>
          <w:highlight w:val="none"/>
        </w:rPr>
        <w:t>（学院高水平期刊类别查询链接：https://www.wjx.cn/resultquery.aspx?activity=178727029）</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 xml:space="preserve">2. </w:t>
      </w:r>
      <w:r>
        <w:rPr>
          <w:rFonts w:hint="eastAsia" w:ascii="仿宋" w:hAnsi="仿宋" w:eastAsia="仿宋" w:cs="仿宋"/>
          <w:sz w:val="32"/>
          <w:szCs w:val="32"/>
        </w:rPr>
        <w:t>在国际学术会议上被选入会议论文集（论文集需有ISBN号或ISSN号）发表，计6分；在全国学术会议上被选入会议论文集（论文集需有ISBN号）发表，计3分；其余参与经学院批准的学术会议的</w:t>
      </w:r>
      <w:r>
        <w:rPr>
          <w:rFonts w:hint="eastAsia" w:ascii="仿宋" w:hAnsi="仿宋" w:eastAsia="仿宋" w:cs="仿宋"/>
          <w:sz w:val="32"/>
          <w:szCs w:val="32"/>
          <w:highlight w:val="none"/>
        </w:rPr>
        <w:t>并获奖的，计0.5分，会议论文获奖计分上限为2分；</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 xml:space="preserve">3. </w:t>
      </w:r>
      <w:r>
        <w:rPr>
          <w:rFonts w:hint="eastAsia" w:ascii="仿宋" w:hAnsi="仿宋" w:eastAsia="仿宋" w:cs="仿宋"/>
          <w:sz w:val="32"/>
          <w:szCs w:val="32"/>
        </w:rPr>
        <w:t>在国际普通刊物上发表外文论文每篇计3分；在港澳台普通刊物发表论文每篇计1.5分；</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 xml:space="preserve"> </w:t>
      </w:r>
      <w:r>
        <w:rPr>
          <w:rFonts w:hint="eastAsia" w:ascii="仿宋" w:hAnsi="仿宋" w:eastAsia="仿宋" w:cs="仿宋"/>
          <w:sz w:val="32"/>
          <w:szCs w:val="32"/>
        </w:rPr>
        <w:t xml:space="preserve">在国内一般专业学术刊物（需有ISSN、CN或ISSN号）上发表论文加分办法如下： </w:t>
      </w:r>
    </w:p>
    <w:tbl>
      <w:tblPr>
        <w:tblStyle w:val="7"/>
        <w:tblW w:w="8322"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067"/>
        <w:gridCol w:w="2903"/>
        <w:gridCol w:w="1286"/>
        <w:gridCol w:w="206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4970" w:type="dxa"/>
            <w:gridSpan w:val="2"/>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期刊类别</w:t>
            </w:r>
          </w:p>
        </w:tc>
        <w:tc>
          <w:tcPr>
            <w:tcW w:w="128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加分</w:t>
            </w:r>
          </w:p>
        </w:tc>
        <w:tc>
          <w:tcPr>
            <w:tcW w:w="206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加分上限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一般学术类学报 </w:t>
            </w: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非核心期刊大学学报</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2</w:t>
            </w:r>
          </w:p>
        </w:tc>
        <w:tc>
          <w:tcPr>
            <w:tcW w:w="2066"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设加分上限2篇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高职院校学报 </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2066"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PrEx>
        <w:trPr>
          <w:jc w:val="center"/>
        </w:trPr>
        <w:tc>
          <w:tcPr>
            <w:tcW w:w="206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一般公开发表刊物 </w:t>
            </w: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季刊、月刊 、集刊</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1 </w:t>
            </w:r>
          </w:p>
        </w:tc>
        <w:tc>
          <w:tcPr>
            <w:tcW w:w="2066"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设加分上限2篇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c>
          <w:tcPr>
            <w:tcW w:w="2903"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ind w:firstLine="420"/>
              <w:jc w:val="left"/>
              <w:rPr>
                <w:rFonts w:ascii="仿宋" w:hAnsi="仿宋" w:eastAsia="仿宋" w:cs="仿宋"/>
                <w:kern w:val="0"/>
                <w:sz w:val="32"/>
                <w:szCs w:val="32"/>
              </w:rPr>
            </w:pPr>
            <w:r>
              <w:rPr>
                <w:rFonts w:hint="eastAsia" w:ascii="仿宋" w:hAnsi="仿宋" w:eastAsia="仿宋" w:cs="仿宋"/>
                <w:kern w:val="0"/>
                <w:sz w:val="32"/>
                <w:szCs w:val="32"/>
              </w:rPr>
              <w:t xml:space="preserve">半月刊、周刊 </w:t>
            </w:r>
          </w:p>
        </w:tc>
        <w:tc>
          <w:tcPr>
            <w:tcW w:w="128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0.5 </w:t>
            </w:r>
          </w:p>
        </w:tc>
        <w:tc>
          <w:tcPr>
            <w:tcW w:w="2066"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r>
    </w:tbl>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 xml:space="preserve"> </w:t>
      </w:r>
      <w:r>
        <w:rPr>
          <w:rFonts w:hint="eastAsia" w:ascii="仿宋" w:hAnsi="仿宋" w:eastAsia="仿宋" w:cs="仿宋"/>
          <w:sz w:val="32"/>
          <w:szCs w:val="32"/>
        </w:rPr>
        <w:t>在中山大学《研究生学刊》上发表专业论文一篇，计1分； 加分累计不超过2篇；</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w:t>
      </w:r>
      <w:r>
        <w:rPr>
          <w:rFonts w:ascii="仿宋" w:hAnsi="仿宋" w:eastAsia="仿宋" w:cs="仿宋"/>
          <w:sz w:val="32"/>
          <w:szCs w:val="32"/>
        </w:rPr>
        <w:t xml:space="preserve"> </w:t>
      </w:r>
      <w:r>
        <w:rPr>
          <w:rFonts w:hint="eastAsia" w:ascii="仿宋" w:hAnsi="仿宋" w:eastAsia="仿宋" w:cs="仿宋"/>
          <w:sz w:val="32"/>
          <w:szCs w:val="32"/>
        </w:rPr>
        <w:t>以上参与加分的论文，应为在评奖年度内正式刊出（含线上发表）的论文；</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．以上论文中，两人合作的论文，第一作者计相应分值的70%，其余作者按人数平分30%；如第一作者是导师,第二作者按第一作者,第三作者按第二作者记分，依此类推；</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 xml:space="preserve">．在国内外出版学术性专著（单独作者）计8分，出版面向高校学生的教材（单独作者）计6分；出版学术性译著（单独作者）计4分；出版非学术性人文社科类专著或译著（单独作者）计1分；集体作者，按照贡献比例予以计分；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10</w:t>
      </w:r>
      <w:r>
        <w:rPr>
          <w:rFonts w:hint="eastAsia" w:ascii="仿宋" w:hAnsi="仿宋" w:eastAsia="仿宋" w:cs="仿宋"/>
          <w:sz w:val="32"/>
          <w:szCs w:val="32"/>
        </w:rPr>
        <w:t xml:space="preserve">．发表的译文按同等学术刊物计分标准的25%计；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11</w:t>
      </w:r>
      <w:r>
        <w:rPr>
          <w:rFonts w:hint="eastAsia" w:ascii="仿宋" w:hAnsi="仿宋" w:eastAsia="仿宋" w:cs="仿宋"/>
          <w:sz w:val="32"/>
          <w:szCs w:val="32"/>
        </w:rPr>
        <w:t xml:space="preserve">．提交参评的论文或著作须附交刊物封面、目录复印件和论文正文页；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12</w:t>
      </w:r>
      <w:r>
        <w:rPr>
          <w:rFonts w:hint="eastAsia" w:ascii="仿宋" w:hAnsi="仿宋" w:eastAsia="仿宋" w:cs="仿宋"/>
          <w:sz w:val="32"/>
          <w:szCs w:val="32"/>
        </w:rPr>
        <w:t>．参评论文、著作、教材的发表必须是评奖学年度内，且与本人所学专业相关；</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3</w:t>
      </w:r>
      <w:r>
        <w:rPr>
          <w:rFonts w:hint="eastAsia" w:ascii="仿宋" w:hAnsi="仿宋" w:eastAsia="仿宋" w:cs="仿宋"/>
          <w:sz w:val="32"/>
          <w:szCs w:val="32"/>
        </w:rPr>
        <w:t>．有违学术道德者，一经发现即取消评奖资格；</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4</w:t>
      </w:r>
      <w:r>
        <w:rPr>
          <w:rFonts w:hint="eastAsia" w:ascii="仿宋" w:hAnsi="仿宋" w:eastAsia="仿宋" w:cs="仿宋"/>
          <w:sz w:val="32"/>
          <w:szCs w:val="32"/>
        </w:rPr>
        <w:t>.以上所有论文、刊物、译著发表署名均须为中山大学；</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5</w:t>
      </w:r>
      <w:r>
        <w:rPr>
          <w:rFonts w:hint="eastAsia" w:ascii="仿宋" w:hAnsi="仿宋" w:eastAsia="仿宋" w:cs="仿宋"/>
          <w:sz w:val="32"/>
          <w:szCs w:val="32"/>
        </w:rPr>
        <w:t>.如有争议项，由学院评选工作领导小组讨论确定。</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（二）社会工作加分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社会工作主要指在校担任的面向学生的无报酬的工作，在社会上兼职不算在内，</w:t>
      </w:r>
      <w:r>
        <w:rPr>
          <w:rFonts w:hint="eastAsia" w:ascii="仿宋_GB2312" w:hAnsi="仿宋" w:eastAsia="仿宋_GB2312" w:cs="仿宋"/>
          <w:sz w:val="32"/>
          <w:szCs w:val="32"/>
        </w:rPr>
        <w:t>原则上</w:t>
      </w:r>
      <w:r>
        <w:rPr>
          <w:rFonts w:ascii="仿宋_GB2312" w:hAnsi="仿宋" w:eastAsia="仿宋_GB2312" w:cs="仿宋"/>
          <w:sz w:val="32"/>
          <w:szCs w:val="32"/>
        </w:rPr>
        <w:t>须任满一学年，</w:t>
      </w:r>
      <w:r>
        <w:rPr>
          <w:rFonts w:hint="eastAsia" w:ascii="仿宋" w:hAnsi="仿宋" w:eastAsia="仿宋" w:cs="仿宋"/>
          <w:sz w:val="32"/>
          <w:szCs w:val="32"/>
        </w:rPr>
        <w:t xml:space="preserve">具体如下： </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1．任校级学生组织正职负责人计2分（校研究生会主席团任期内担任过轮值主席则多计0.5分），部门负责人计1.5分，部门成员计1分；</w:t>
      </w:r>
      <w:r>
        <w:rPr>
          <w:rFonts w:ascii="仿宋" w:hAnsi="仿宋" w:eastAsia="仿宋" w:cs="仿宋"/>
          <w:sz w:val="32"/>
          <w:szCs w:val="32"/>
          <w:highlight w:val="none"/>
        </w:rPr>
        <w:t xml:space="preserve"> </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 xml:space="preserve">2．任院团委副书记计2分，院团委委员、班级团支书1.5分； </w:t>
      </w:r>
    </w:p>
    <w:p>
      <w:pPr>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highlight w:val="none"/>
        </w:rPr>
        <w:t>3</w:t>
      </w:r>
      <w:r>
        <w:rPr>
          <w:rFonts w:hint="eastAsia" w:ascii="仿宋" w:hAnsi="仿宋" w:eastAsia="仿宋" w:cs="仿宋"/>
          <w:sz w:val="32"/>
          <w:szCs w:val="32"/>
          <w:highlight w:val="none"/>
        </w:rPr>
        <w:t>．任院研究生会主席团成员计1.5分，任期内担任过轮值主席则多计0.5分，部门负责人计1分，部门成员计0.5分；</w:t>
      </w:r>
    </w:p>
    <w:p>
      <w:pPr>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highlight w:val="none"/>
        </w:rPr>
        <w:t>4</w:t>
      </w:r>
      <w:r>
        <w:rPr>
          <w:rFonts w:hint="eastAsia" w:ascii="仿宋" w:hAnsi="仿宋" w:eastAsia="仿宋" w:cs="仿宋"/>
          <w:sz w:val="32"/>
          <w:szCs w:val="32"/>
          <w:highlight w:val="none"/>
        </w:rPr>
        <w:t>． 任院学生党支部副书记、班长等学生组织正职负责人计1.5分，党支部支委、其他班委、社团部门负责人等副职负责人计1分；</w:t>
      </w:r>
    </w:p>
    <w:p>
      <w:pPr>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highlight w:val="none"/>
        </w:rPr>
        <w:t>5</w:t>
      </w:r>
      <w:r>
        <w:rPr>
          <w:rFonts w:hint="eastAsia" w:ascii="仿宋" w:hAnsi="仿宋" w:eastAsia="仿宋" w:cs="仿宋"/>
          <w:sz w:val="32"/>
          <w:szCs w:val="32"/>
          <w:highlight w:val="none"/>
        </w:rPr>
        <w:t>．兼多项职务者取最高分，不重复加分；</w:t>
      </w:r>
    </w:p>
    <w:p>
      <w:pPr>
        <w:spacing w:line="360" w:lineRule="auto"/>
        <w:ind w:firstLine="640" w:firstLineChars="200"/>
        <w:rPr>
          <w:rFonts w:ascii="仿宋" w:hAnsi="仿宋" w:eastAsia="仿宋" w:cs="仿宋"/>
          <w:sz w:val="32"/>
          <w:szCs w:val="32"/>
        </w:rPr>
      </w:pPr>
      <w:r>
        <w:rPr>
          <w:rFonts w:ascii="仿宋" w:hAnsi="仿宋" w:eastAsia="仿宋" w:cs="仿宋"/>
          <w:sz w:val="32"/>
          <w:szCs w:val="32"/>
          <w:highlight w:val="none"/>
        </w:rPr>
        <w:t xml:space="preserve">6. </w:t>
      </w:r>
      <w:r>
        <w:rPr>
          <w:rFonts w:hint="eastAsia" w:ascii="仿宋" w:hAnsi="仿宋" w:eastAsia="仿宋" w:cs="仿宋"/>
          <w:sz w:val="32"/>
          <w:szCs w:val="32"/>
          <w:highlight w:val="none"/>
        </w:rPr>
        <w:t>加分需根据各学生组织内部评</w:t>
      </w:r>
      <w:r>
        <w:rPr>
          <w:rFonts w:hint="eastAsia" w:ascii="仿宋" w:hAnsi="仿宋" w:eastAsia="仿宋" w:cs="仿宋"/>
          <w:sz w:val="32"/>
          <w:szCs w:val="32"/>
        </w:rPr>
        <w:t>议会的述职评议结果予以确认，不与其岗位简单直接挂钩。</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（三）获得荣誉加分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1．获奖项目指评奖学年度内所受到的奖励，个人或集体所获奖励原则上应以获奖证书为判定依据；</w:t>
      </w:r>
    </w:p>
    <w:p>
      <w:pPr>
        <w:numPr>
          <w:ilvl w:val="-1"/>
          <w:numId w:val="0"/>
        </w:numPr>
        <w:spacing w:line="360" w:lineRule="auto"/>
        <w:ind w:left="630" w:firstLine="0" w:firstLineChars="0"/>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 xml:space="preserve">2. </w:t>
      </w:r>
      <w:r>
        <w:rPr>
          <w:rFonts w:hint="eastAsia" w:ascii="仿宋" w:hAnsi="仿宋" w:eastAsia="仿宋" w:cs="仿宋"/>
          <w:bCs/>
          <w:sz w:val="32"/>
          <w:szCs w:val="32"/>
          <w:highlight w:val="none"/>
        </w:rPr>
        <w:t>各项荣誉加分分级判定依据如下：</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官方认可：是否为教育部认定的、具有较高权威性的比赛；</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比赛投入：举办方及参赛选手所投入的时间成本等，考虑赛制设置等因素；</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获奖比例：考虑参赛选手覆盖范围及奖项覆盖率，奖项的含金量与获奖难度；</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信息渠道：是否为学院或学校牵头的比赛，是否经过正规流程参赛；</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学术专业：比赛难度如何，是否具有学术性、专业性而非商业性。</w:t>
      </w:r>
    </w:p>
    <w:p>
      <w:pPr>
        <w:numPr>
          <w:ilvl w:val="255"/>
          <w:numId w:val="0"/>
        </w:numPr>
        <w:spacing w:line="360" w:lineRule="auto"/>
        <w:ind w:firstLine="640" w:firstLineChars="200"/>
        <w:rPr>
          <w:rFonts w:ascii="仿宋" w:hAnsi="仿宋" w:eastAsia="仿宋" w:cs="仿宋"/>
          <w:bCs/>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w:t>
      </w:r>
      <w:r>
        <w:rPr>
          <w:rFonts w:hint="eastAsia" w:ascii="仿宋" w:hAnsi="仿宋" w:eastAsia="仿宋" w:cs="仿宋"/>
          <w:bCs/>
          <w:sz w:val="32"/>
          <w:szCs w:val="32"/>
          <w:highlight w:val="none"/>
        </w:rPr>
        <w:t>按以上标准划分</w:t>
      </w:r>
      <w:r>
        <w:rPr>
          <w:rFonts w:ascii="仿宋" w:hAnsi="仿宋" w:eastAsia="仿宋" w:cs="仿宋"/>
          <w:bCs/>
          <w:sz w:val="32"/>
          <w:szCs w:val="32"/>
          <w:highlight w:val="none"/>
        </w:rPr>
        <w:t>5个不同等级：</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A.教育部官方认定的权威性比赛（如：外研社杯）；</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B.教育部文件中未认定，但比赛历史悠久、学术性及专业性强、认可度高且获奖难度较大（如：韩素音翻译大赛、可口可乐杯、中国日报社等）；</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C.认可度相对较低，但主办方较为官方，经学院认可或由学院牵头，且赛事规模较大的比赛；</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D.主办方单位</w:t>
      </w:r>
      <w:r>
        <w:rPr>
          <w:rFonts w:hint="eastAsia" w:ascii="仿宋" w:hAnsi="仿宋" w:eastAsia="仿宋" w:cs="仿宋"/>
          <w:bCs/>
          <w:sz w:val="32"/>
          <w:szCs w:val="32"/>
          <w:highlight w:val="none"/>
        </w:rPr>
        <w:t>非</w:t>
      </w:r>
      <w:r>
        <w:rPr>
          <w:rFonts w:ascii="仿宋" w:hAnsi="仿宋" w:eastAsia="仿宋" w:cs="仿宋"/>
          <w:bCs/>
          <w:sz w:val="32"/>
          <w:szCs w:val="32"/>
          <w:highlight w:val="none"/>
        </w:rPr>
        <w:t>官方</w:t>
      </w:r>
      <w:r>
        <w:rPr>
          <w:rFonts w:hint="eastAsia" w:ascii="仿宋" w:hAnsi="仿宋" w:eastAsia="仿宋" w:cs="仿宋"/>
          <w:bCs/>
          <w:sz w:val="32"/>
          <w:szCs w:val="32"/>
          <w:highlight w:val="none"/>
        </w:rPr>
        <w:t>或</w:t>
      </w:r>
      <w:r>
        <w:rPr>
          <w:rFonts w:ascii="仿宋" w:hAnsi="仿宋" w:eastAsia="仿宋" w:cs="仿宋"/>
          <w:bCs/>
          <w:sz w:val="32"/>
          <w:szCs w:val="32"/>
          <w:highlight w:val="none"/>
        </w:rPr>
        <w:t>无法确认评级，奖项覆盖率较高，但是为正规比赛，学生参加前需向学院报批</w:t>
      </w:r>
      <w:r>
        <w:rPr>
          <w:rFonts w:hint="eastAsia" w:ascii="仿宋" w:hAnsi="仿宋" w:eastAsia="仿宋" w:cs="仿宋"/>
          <w:bCs/>
          <w:sz w:val="32"/>
          <w:szCs w:val="32"/>
          <w:highlight w:val="none"/>
        </w:rPr>
        <w:t>（如：全国高校创新英语挑战活动、“普译奖”全国大学生翻译比赛等）；</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4. </w:t>
      </w:r>
      <w:r>
        <w:rPr>
          <w:rFonts w:hint="eastAsia" w:ascii="仿宋" w:hAnsi="仿宋" w:eastAsia="仿宋" w:cs="仿宋"/>
          <w:sz w:val="32"/>
          <w:szCs w:val="32"/>
          <w:highlight w:val="none"/>
        </w:rPr>
        <w:t>先进集体和个人奖励、表彰等的加分办法如下：</w:t>
      </w:r>
    </w:p>
    <w:tbl>
      <w:tblPr>
        <w:tblStyle w:val="8"/>
        <w:tblW w:w="767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7"/>
        <w:gridCol w:w="1334"/>
        <w:gridCol w:w="1303"/>
        <w:gridCol w:w="1117"/>
        <w:gridCol w:w="111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sz w:val="28"/>
                <w:szCs w:val="28"/>
                <w:highlight w:val="none"/>
              </w:rPr>
              <w:t> </w:t>
            </w:r>
            <w:r>
              <w:rPr>
                <w:rFonts w:hint="eastAsia" w:ascii="仿宋" w:hAnsi="仿宋" w:eastAsia="仿宋" w:cs="仿宋"/>
                <w:b/>
                <w:kern w:val="0"/>
                <w:sz w:val="28"/>
                <w:szCs w:val="28"/>
                <w:highlight w:val="none"/>
              </w:rPr>
              <w:t xml:space="preserve">表彰级别 </w:t>
            </w:r>
          </w:p>
        </w:tc>
        <w:tc>
          <w:tcPr>
            <w:tcW w:w="1334"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A级 </w:t>
            </w:r>
          </w:p>
        </w:tc>
        <w:tc>
          <w:tcPr>
            <w:tcW w:w="1303"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B级 </w:t>
            </w:r>
          </w:p>
        </w:tc>
        <w:tc>
          <w:tcPr>
            <w:tcW w:w="1117"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C级 </w:t>
            </w:r>
          </w:p>
        </w:tc>
        <w:tc>
          <w:tcPr>
            <w:tcW w:w="1117"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D级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先进个人</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15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8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4</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先进集体主要负责人</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15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8</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4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6"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先进集体一般负责人</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8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4</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2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0.5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1" w:hRule="atLeast"/>
          <w:jc w:val="center"/>
        </w:trPr>
        <w:tc>
          <w:tcPr>
            <w:tcW w:w="2807" w:type="dxa"/>
          </w:tcPr>
          <w:p>
            <w:pPr>
              <w:widowControl/>
              <w:spacing w:before="100" w:beforeAutospacing="1" w:after="100" w:afterAutospacing="1"/>
              <w:ind w:firstLine="140"/>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先进集体一般成员</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4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2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0.2 </w:t>
            </w:r>
          </w:p>
        </w:tc>
      </w:tr>
    </w:tbl>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 xml:space="preserve">．科研与学习竞赛 </w:t>
      </w:r>
    </w:p>
    <w:tbl>
      <w:tblPr>
        <w:tblStyle w:val="8"/>
        <w:tblW w:w="786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3"/>
        <w:gridCol w:w="511"/>
        <w:gridCol w:w="511"/>
        <w:gridCol w:w="602"/>
        <w:gridCol w:w="513"/>
        <w:gridCol w:w="513"/>
        <w:gridCol w:w="602"/>
        <w:gridCol w:w="513"/>
        <w:gridCol w:w="577"/>
        <w:gridCol w:w="689"/>
        <w:gridCol w:w="577"/>
        <w:gridCol w:w="577"/>
        <w:gridCol w:w="6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等级 </w:t>
            </w:r>
          </w:p>
        </w:tc>
        <w:tc>
          <w:tcPr>
            <w:tcW w:w="1624"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A级 </w:t>
            </w:r>
          </w:p>
        </w:tc>
        <w:tc>
          <w:tcPr>
            <w:tcW w:w="162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B级 </w:t>
            </w:r>
          </w:p>
        </w:tc>
        <w:tc>
          <w:tcPr>
            <w:tcW w:w="1779"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C级 </w:t>
            </w:r>
          </w:p>
        </w:tc>
        <w:tc>
          <w:tcPr>
            <w:tcW w:w="183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D级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等级</w:t>
            </w:r>
            <w:r>
              <w:rPr>
                <w:rFonts w:ascii="仿宋" w:hAnsi="仿宋" w:eastAsia="仿宋" w:cs="仿宋"/>
                <w:kern w:val="0"/>
                <w:sz w:val="24"/>
                <w:szCs w:val="24"/>
                <w:highlight w:val="none"/>
              </w:rPr>
              <w:t xml:space="preserve"> </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89"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84"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加分</w:t>
            </w:r>
            <w:r>
              <w:rPr>
                <w:rFonts w:ascii="仿宋" w:hAnsi="仿宋" w:eastAsia="仿宋" w:cs="仿宋"/>
                <w:kern w:val="0"/>
                <w:sz w:val="24"/>
                <w:szCs w:val="24"/>
                <w:highlight w:val="none"/>
              </w:rPr>
              <w:t xml:space="preserve"> </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15 </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8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4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8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4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2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4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2 </w:t>
            </w:r>
          </w:p>
        </w:tc>
        <w:tc>
          <w:tcPr>
            <w:tcW w:w="689"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1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1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0.5 </w:t>
            </w:r>
          </w:p>
        </w:tc>
        <w:tc>
          <w:tcPr>
            <w:tcW w:w="684"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0.2</w:t>
            </w:r>
          </w:p>
        </w:tc>
      </w:tr>
    </w:tbl>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6</w:t>
      </w:r>
      <w:r>
        <w:rPr>
          <w:rFonts w:ascii="仿宋" w:hAnsi="仿宋" w:eastAsia="仿宋" w:cs="仿宋"/>
          <w:sz w:val="32"/>
          <w:szCs w:val="32"/>
          <w:highlight w:val="none"/>
        </w:rPr>
        <w:t>．文体类竞赛</w:t>
      </w:r>
    </w:p>
    <w:tbl>
      <w:tblPr>
        <w:tblStyle w:val="8"/>
        <w:tblW w:w="783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4"/>
        <w:gridCol w:w="576"/>
        <w:gridCol w:w="576"/>
        <w:gridCol w:w="576"/>
        <w:gridCol w:w="576"/>
        <w:gridCol w:w="576"/>
        <w:gridCol w:w="576"/>
        <w:gridCol w:w="576"/>
        <w:gridCol w:w="585"/>
        <w:gridCol w:w="576"/>
        <w:gridCol w:w="576"/>
        <w:gridCol w:w="585"/>
        <w:gridCol w:w="5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等级</w:t>
            </w:r>
            <w:r>
              <w:rPr>
                <w:rFonts w:ascii="仿宋" w:hAnsi="仿宋" w:eastAsia="仿宋" w:cs="仿宋"/>
                <w:b/>
                <w:kern w:val="0"/>
                <w:sz w:val="24"/>
                <w:szCs w:val="24"/>
                <w:highlight w:val="none"/>
              </w:rPr>
              <w:t xml:space="preserve"> </w:t>
            </w:r>
          </w:p>
        </w:tc>
        <w:tc>
          <w:tcPr>
            <w:tcW w:w="172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A级 </w:t>
            </w:r>
          </w:p>
        </w:tc>
        <w:tc>
          <w:tcPr>
            <w:tcW w:w="172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B级 </w:t>
            </w:r>
          </w:p>
        </w:tc>
        <w:tc>
          <w:tcPr>
            <w:tcW w:w="1737"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C级 </w:t>
            </w:r>
          </w:p>
        </w:tc>
        <w:tc>
          <w:tcPr>
            <w:tcW w:w="1737"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D级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等级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c>
          <w:tcPr>
            <w:tcW w:w="576" w:type="dxa"/>
          </w:tcPr>
          <w:p>
            <w:pPr>
              <w:widowControl/>
              <w:spacing w:before="100" w:beforeAutospacing="1" w:after="100" w:afterAutospacing="1"/>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加分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12</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3</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3</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1.5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3</w:t>
            </w:r>
            <w:r>
              <w:rPr>
                <w:rFonts w:hint="eastAsia" w:ascii="仿宋" w:hAnsi="仿宋" w:eastAsia="仿宋" w:cs="仿宋"/>
                <w:kern w:val="0"/>
                <w:sz w:val="24"/>
                <w:szCs w:val="24"/>
                <w:highlight w:val="none"/>
              </w:rPr>
              <w:t xml:space="preserve"> </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ascii="仿宋" w:hAnsi="仿宋" w:eastAsia="仿宋" w:cs="仿宋"/>
                <w:kern w:val="0"/>
                <w:sz w:val="24"/>
                <w:szCs w:val="24"/>
                <w:highlight w:val="none"/>
              </w:rPr>
              <w:t>5</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0.75</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0.</w:t>
            </w: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0.</w:t>
            </w:r>
            <w:r>
              <w:rPr>
                <w:rFonts w:ascii="仿宋" w:hAnsi="仿宋" w:eastAsia="仿宋" w:cs="仿宋"/>
                <w:kern w:val="0"/>
                <w:sz w:val="24"/>
                <w:szCs w:val="24"/>
                <w:highlight w:val="none"/>
              </w:rPr>
              <w:t>3</w:t>
            </w:r>
          </w:p>
        </w:tc>
      </w:tr>
    </w:tbl>
    <w:p>
      <w:pPr>
        <w:numPr>
          <w:ilvl w:val="255"/>
          <w:numId w:val="0"/>
        </w:numPr>
        <w:spacing w:line="360" w:lineRule="auto"/>
        <w:rPr>
          <w:rFonts w:ascii="仿宋" w:hAnsi="仿宋" w:eastAsia="仿宋" w:cs="仿宋"/>
          <w:bCs/>
          <w:sz w:val="32"/>
          <w:szCs w:val="32"/>
          <w:highlight w:val="none"/>
        </w:rPr>
      </w:pPr>
    </w:p>
    <w:p>
      <w:pPr>
        <w:numPr>
          <w:ilvl w:val="0"/>
          <w:numId w:val="2"/>
        </w:numPr>
        <w:spacing w:line="360" w:lineRule="auto"/>
        <w:ind w:left="0" w:firstLine="643"/>
        <w:rPr>
          <w:rFonts w:ascii="仿宋" w:hAnsi="仿宋" w:eastAsia="仿宋" w:cs="仿宋"/>
          <w:bCs/>
          <w:sz w:val="32"/>
          <w:szCs w:val="32"/>
          <w:highlight w:val="none"/>
        </w:rPr>
      </w:pPr>
      <w:r>
        <w:rPr>
          <w:rFonts w:hint="eastAsia" w:ascii="仿宋" w:hAnsi="仿宋" w:eastAsia="仿宋" w:cs="仿宋"/>
          <w:bCs/>
          <w:sz w:val="32"/>
          <w:szCs w:val="32"/>
          <w:highlight w:val="none"/>
        </w:rPr>
        <w:t>参评者在评选年度原则上应有参加社会公益活动的经历。</w:t>
      </w:r>
    </w:p>
    <w:p>
      <w:pPr>
        <w:numPr>
          <w:ilvl w:val="0"/>
          <w:numId w:val="2"/>
        </w:numPr>
        <w:spacing w:line="360" w:lineRule="auto"/>
        <w:ind w:left="0" w:firstLine="643"/>
        <w:rPr>
          <w:rFonts w:ascii="仿宋" w:hAnsi="仿宋" w:eastAsia="仿宋" w:cs="仿宋"/>
          <w:bCs/>
          <w:sz w:val="32"/>
          <w:szCs w:val="32"/>
          <w:highlight w:val="none"/>
        </w:rPr>
      </w:pPr>
      <w:r>
        <w:rPr>
          <w:rFonts w:hint="eastAsia" w:ascii="仿宋" w:hAnsi="仿宋" w:eastAsia="仿宋" w:cs="仿宋"/>
          <w:bCs/>
          <w:sz w:val="32"/>
          <w:szCs w:val="32"/>
          <w:highlight w:val="none"/>
        </w:rPr>
        <w:t>若参评成果为同一科研项目产出的不同形式的成果，如论文形式和调研报告形式，则</w:t>
      </w:r>
      <w:r>
        <w:rPr>
          <w:rFonts w:hint="eastAsia" w:ascii="仿宋" w:hAnsi="仿宋" w:eastAsia="仿宋" w:cs="仿宋"/>
          <w:sz w:val="32"/>
          <w:szCs w:val="32"/>
          <w:highlight w:val="none"/>
        </w:rPr>
        <w:t>取最高分，不重复加分。</w:t>
      </w:r>
    </w:p>
    <w:p>
      <w:pPr>
        <w:spacing w:line="360" w:lineRule="auto"/>
        <w:ind w:firstLine="3200" w:firstLineChars="1000"/>
        <w:rPr>
          <w:rFonts w:ascii="黑体" w:hAnsi="黑体" w:eastAsia="黑体" w:cs="仿宋"/>
          <w:bCs/>
          <w:sz w:val="32"/>
          <w:szCs w:val="32"/>
        </w:rPr>
      </w:pPr>
    </w:p>
    <w:p>
      <w:pPr>
        <w:spacing w:line="360" w:lineRule="auto"/>
        <w:ind w:firstLine="3200" w:firstLineChars="1000"/>
        <w:rPr>
          <w:rFonts w:ascii="黑体" w:hAnsi="黑体" w:eastAsia="黑体" w:cs="仿宋"/>
          <w:bCs/>
          <w:sz w:val="32"/>
          <w:szCs w:val="32"/>
        </w:rPr>
      </w:pPr>
      <w:r>
        <w:rPr>
          <w:rFonts w:hint="eastAsia" w:ascii="黑体" w:hAnsi="黑体" w:eastAsia="黑体" w:cs="仿宋"/>
          <w:bCs/>
          <w:sz w:val="32"/>
          <w:szCs w:val="32"/>
        </w:rPr>
        <w:t>第三章</w:t>
      </w:r>
      <w:r>
        <w:rPr>
          <w:rFonts w:ascii="黑体" w:hAnsi="黑体" w:eastAsia="黑体" w:cs="仿宋"/>
          <w:bCs/>
          <w:sz w:val="32"/>
          <w:szCs w:val="32"/>
        </w:rPr>
        <w:t xml:space="preserve"> </w:t>
      </w:r>
      <w:r>
        <w:rPr>
          <w:rFonts w:hint="eastAsia" w:ascii="黑体" w:hAnsi="黑体" w:eastAsia="黑体" w:cs="仿宋"/>
          <w:bCs/>
          <w:sz w:val="32"/>
          <w:szCs w:val="32"/>
        </w:rPr>
        <w:t>考核与管理</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已获得奖助金的研究生办理休学手续的，研究生院暂时停止发放该生休学期间的奖助金。待该生办理复学手续后，由该生本人向研究生院提出恢复发放奖助金申请，研究生院审核后在该生的基本修业年限内顺延发放奖助金。已获得奖助金的研究生出国（境）学习或研究时间超过1个月的，研究生院停止发放其出国（境）学习或研究期间的奖助金。待该生办理回国手续后，由该生本人向研究生院提出恢复发放奖助金申请，在基本修业年限内恢复发放，并补发学业奖学金。该生出国（境）期间停发的学业助学金、研究生导师</w:t>
      </w:r>
      <w:r>
        <w:rPr>
          <w:rFonts w:hint="eastAsia" w:ascii="仿宋" w:hAnsi="仿宋" w:eastAsia="仿宋" w:cs="仿宋"/>
          <w:bCs/>
          <w:sz w:val="32"/>
          <w:szCs w:val="32"/>
        </w:rPr>
        <w:t>配套投入不再</w:t>
      </w:r>
      <w:r>
        <w:rPr>
          <w:rFonts w:ascii="仿宋" w:hAnsi="仿宋" w:eastAsia="仿宋" w:cs="仿宋"/>
          <w:bCs/>
          <w:sz w:val="32"/>
          <w:szCs w:val="32"/>
        </w:rPr>
        <w:t>补发。</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研究生有下列情形的，从研究生院核实情况当月起（如晚于当月奖助金发放时间，则顺延至次月），终止发放研究生学业助学金中的学校投入部分、研究生导师配套投入： </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（一）在参评学年当年申请资料中弄虚作假；</w:t>
      </w:r>
      <w:r>
        <w:rPr>
          <w:rFonts w:ascii="仿宋" w:hAnsi="仿宋" w:eastAsia="仿宋" w:cs="仿宋"/>
          <w:bCs/>
          <w:sz w:val="32"/>
          <w:szCs w:val="32"/>
        </w:rPr>
        <w:t xml:space="preserve"> </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 xml:space="preserve">（二）因违反校纪校规受纪律处分； </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（三）考试作弊或有抄袭、篡改、伪造等学术不端行为经查证属实；</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（四）在科研或临床工作中，违反工作程序，导致严重后果</w:t>
      </w:r>
      <w:r>
        <w:rPr>
          <w:rFonts w:hint="eastAsia" w:ascii="仿宋" w:hAnsi="仿宋" w:eastAsia="仿宋" w:cs="仿宋"/>
          <w:bCs/>
          <w:sz w:val="32"/>
          <w:szCs w:val="32"/>
        </w:rPr>
        <w:t>。</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其中，因第（一）项原因终止享受研究生学业助学金中学校投入部分、研究生导师配套投入的研究生，研究生院同时收回该生当学年已发放的学业奖学金、学业助学金中的学校投入部分、研究生导师配套投入。该生可参加基本修业年限内后续学年的研究生奖助金动态评审，符合评审资格的，可恢复发放奖助金。</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因第（二）（三）（四）项原因未参</w:t>
      </w:r>
      <w:r>
        <w:rPr>
          <w:rFonts w:hint="eastAsia" w:ascii="仿宋" w:hAnsi="仿宋" w:eastAsia="仿宋" w:cs="仿宋"/>
          <w:bCs/>
          <w:sz w:val="32"/>
          <w:szCs w:val="32"/>
        </w:rPr>
        <w:t>加奖助金动态评审的研</w:t>
      </w:r>
      <w:r>
        <w:rPr>
          <w:rFonts w:ascii="仿宋" w:hAnsi="仿宋" w:eastAsia="仿宋" w:cs="仿宋"/>
          <w:bCs/>
          <w:sz w:val="32"/>
          <w:szCs w:val="32"/>
        </w:rPr>
        <w:t>究生，在基本修业年限内，如处分期限届满，该生可向</w:t>
      </w:r>
      <w:r>
        <w:rPr>
          <w:rFonts w:hint="eastAsia" w:ascii="仿宋" w:hAnsi="仿宋" w:eastAsia="仿宋" w:cs="仿宋"/>
          <w:bCs/>
          <w:sz w:val="32"/>
          <w:szCs w:val="32"/>
          <w:lang w:eastAsia="zh-Hans"/>
        </w:rPr>
        <w:t>学院</w:t>
      </w:r>
      <w:r>
        <w:rPr>
          <w:rFonts w:ascii="仿宋" w:hAnsi="仿宋" w:eastAsia="仿宋" w:cs="仿宋"/>
          <w:bCs/>
          <w:sz w:val="32"/>
          <w:szCs w:val="32"/>
        </w:rPr>
        <w:t>提出恢复奖助金发放的申请。</w:t>
      </w:r>
      <w:r>
        <w:rPr>
          <w:rFonts w:hint="eastAsia" w:ascii="仿宋" w:hAnsi="仿宋" w:eastAsia="仿宋" w:cs="仿宋"/>
          <w:bCs/>
          <w:sz w:val="32"/>
          <w:szCs w:val="32"/>
          <w:lang w:eastAsia="zh-Hans"/>
        </w:rPr>
        <w:t>学院</w:t>
      </w:r>
      <w:r>
        <w:rPr>
          <w:rFonts w:ascii="仿宋" w:hAnsi="仿宋" w:eastAsia="仿宋" w:cs="仿宋"/>
          <w:bCs/>
          <w:sz w:val="32"/>
          <w:szCs w:val="32"/>
        </w:rPr>
        <w:t xml:space="preserve">审核同意并报研究生院批准后，研究生院从该生处分期限结束次月起，按三等奖助金标准为该生发放当学年的研究生奖助金。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发生第十</w:t>
      </w:r>
      <w:r>
        <w:rPr>
          <w:rFonts w:hint="eastAsia" w:ascii="仿宋" w:hAnsi="仿宋" w:eastAsia="仿宋" w:cs="仿宋"/>
          <w:bCs/>
          <w:sz w:val="32"/>
          <w:szCs w:val="32"/>
        </w:rPr>
        <w:t>四</w:t>
      </w:r>
      <w:r>
        <w:rPr>
          <w:rFonts w:ascii="仿宋" w:hAnsi="仿宋" w:eastAsia="仿宋" w:cs="仿宋"/>
          <w:bCs/>
          <w:sz w:val="32"/>
          <w:szCs w:val="32"/>
        </w:rPr>
        <w:t>条所列情形的终止发放程序为：</w:t>
      </w:r>
      <w:r>
        <w:rPr>
          <w:rFonts w:hint="eastAsia" w:ascii="仿宋" w:hAnsi="仿宋" w:eastAsia="仿宋" w:cs="仿宋"/>
          <w:bCs/>
          <w:sz w:val="32"/>
          <w:szCs w:val="32"/>
          <w:lang w:eastAsia="zh-Hans"/>
        </w:rPr>
        <w:t>学院</w:t>
      </w:r>
      <w:r>
        <w:rPr>
          <w:rFonts w:ascii="仿宋" w:hAnsi="仿宋" w:eastAsia="仿宋" w:cs="仿宋"/>
          <w:bCs/>
          <w:sz w:val="32"/>
          <w:szCs w:val="32"/>
        </w:rPr>
        <w:t>向研究生院提出申请；研究生院审核并报学校研究生奖助金评审领导小组审批；审批通过后，研究生院终止发放该生学业助学金中学校投入部分、研究生导师配套投入，并通知</w:t>
      </w:r>
      <w:r>
        <w:rPr>
          <w:rFonts w:hint="eastAsia" w:ascii="仿宋" w:hAnsi="仿宋" w:eastAsia="仿宋" w:cs="仿宋"/>
          <w:bCs/>
          <w:sz w:val="32"/>
          <w:szCs w:val="32"/>
          <w:lang w:eastAsia="zh-Hans"/>
        </w:rPr>
        <w:t>学院</w:t>
      </w:r>
      <w:r>
        <w:rPr>
          <w:rFonts w:ascii="仿宋" w:hAnsi="仿宋" w:eastAsia="仿宋" w:cs="仿宋"/>
          <w:bCs/>
          <w:sz w:val="32"/>
          <w:szCs w:val="32"/>
        </w:rPr>
        <w:t>；</w:t>
      </w:r>
      <w:r>
        <w:rPr>
          <w:rFonts w:hint="eastAsia" w:ascii="仿宋" w:hAnsi="仿宋" w:eastAsia="仿宋" w:cs="仿宋"/>
          <w:bCs/>
          <w:sz w:val="32"/>
          <w:szCs w:val="32"/>
          <w:lang w:eastAsia="zh-Hans"/>
        </w:rPr>
        <w:t>学院</w:t>
      </w:r>
      <w:r>
        <w:rPr>
          <w:rFonts w:ascii="仿宋" w:hAnsi="仿宋" w:eastAsia="仿宋" w:cs="仿宋"/>
          <w:bCs/>
          <w:sz w:val="32"/>
          <w:szCs w:val="32"/>
        </w:rPr>
        <w:t>应告知研究生本</w:t>
      </w:r>
      <w:r>
        <w:rPr>
          <w:rFonts w:hint="eastAsia" w:ascii="仿宋" w:hAnsi="仿宋" w:eastAsia="仿宋" w:cs="仿宋"/>
          <w:bCs/>
          <w:sz w:val="32"/>
          <w:szCs w:val="32"/>
        </w:rPr>
        <w:t>人并做好解释工作。</w:t>
      </w:r>
      <w:r>
        <w:rPr>
          <w:rFonts w:ascii="仿宋" w:hAnsi="仿宋" w:eastAsia="仿宋" w:cs="仿宋"/>
          <w:bCs/>
          <w:sz w:val="32"/>
          <w:szCs w:val="32"/>
        </w:rPr>
        <w:t>如该生符合本细则第</w:t>
      </w:r>
      <w:r>
        <w:rPr>
          <w:rFonts w:hint="eastAsia" w:ascii="仿宋" w:hAnsi="仿宋" w:eastAsia="仿宋" w:cs="仿宋"/>
          <w:bCs/>
          <w:sz w:val="32"/>
          <w:szCs w:val="32"/>
          <w:lang w:eastAsia="zh-Hans"/>
        </w:rPr>
        <w:t>五</w:t>
      </w:r>
      <w:r>
        <w:rPr>
          <w:rFonts w:ascii="仿宋" w:hAnsi="仿宋" w:eastAsia="仿宋" w:cs="仿宋"/>
          <w:bCs/>
          <w:sz w:val="32"/>
          <w:szCs w:val="32"/>
        </w:rPr>
        <w:t>条申请条件，且未出现本细则第</w:t>
      </w:r>
      <w:r>
        <w:rPr>
          <w:rFonts w:hint="eastAsia" w:ascii="仿宋" w:hAnsi="仿宋" w:eastAsia="仿宋" w:cs="仿宋"/>
          <w:bCs/>
          <w:sz w:val="32"/>
          <w:szCs w:val="32"/>
          <w:lang w:eastAsia="zh-Hans"/>
        </w:rPr>
        <w:t>六</w:t>
      </w:r>
      <w:r>
        <w:rPr>
          <w:rFonts w:ascii="仿宋" w:hAnsi="仿宋" w:eastAsia="仿宋" w:cs="仿宋"/>
          <w:bCs/>
          <w:sz w:val="32"/>
          <w:szCs w:val="32"/>
        </w:rPr>
        <w:t xml:space="preserve">条的各类情形，可参加基本修业年限内后续学年的研究生奖助金动态评审。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直接攻读博士学位研究生和确定资格后的硕博连读研究生，因个人原因或未通过中期考核等申请转为硕士研究生者，自学校发文公布之月起停发博士研究生奖助金。该生以月为单位将该学年已预发放的学业奖学金（每学年按十个月计）退还到学校指定账户。该生在后续学习阶段基本修业年限内只能享受硕士研究生三等奖助金。</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研究生中途退学的，自学校发文公布之月起终止发放奖助金，学校以月为单位收回该学年已预发放的该生学业奖学金（每学年按十个月计）。</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研究生未按要求承担教学助理工作的，</w:t>
      </w:r>
      <w:r>
        <w:rPr>
          <w:rFonts w:hint="eastAsia" w:ascii="仿宋" w:hAnsi="仿宋" w:eastAsia="仿宋" w:cs="仿宋"/>
          <w:bCs/>
          <w:sz w:val="32"/>
          <w:szCs w:val="32"/>
          <w:lang w:eastAsia="zh-Hans"/>
        </w:rPr>
        <w:t>学院</w:t>
      </w:r>
      <w:r>
        <w:rPr>
          <w:rFonts w:ascii="仿宋" w:hAnsi="仿宋" w:eastAsia="仿宋" w:cs="仿宋"/>
          <w:bCs/>
          <w:sz w:val="32"/>
          <w:szCs w:val="32"/>
        </w:rPr>
        <w:t xml:space="preserve">可向研究生院提交经教务部核准的书面说明，并提出研究生奖助金下调等级或终止发放本学年后续月份研究生学业助学金中的学校投入部分的明确意见，经研究生院审核后，报学校研究生奖助金评审领导小组审批。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研究生未按学校要求承担科研助手工作的，其导师可经</w:t>
      </w:r>
      <w:r>
        <w:rPr>
          <w:rFonts w:hint="eastAsia" w:ascii="仿宋" w:hAnsi="仿宋" w:eastAsia="仿宋" w:cs="仿宋"/>
          <w:bCs/>
          <w:sz w:val="32"/>
          <w:szCs w:val="32"/>
          <w:lang w:eastAsia="zh-Hans"/>
        </w:rPr>
        <w:t>学院向</w:t>
      </w:r>
      <w:r>
        <w:rPr>
          <w:rFonts w:ascii="仿宋" w:hAnsi="仿宋" w:eastAsia="仿宋" w:cs="仿宋"/>
          <w:bCs/>
          <w:sz w:val="32"/>
          <w:szCs w:val="32"/>
        </w:rPr>
        <w:t xml:space="preserve">研究生院提出书面申请，并提出减少或终止发放本学年奖助金中研究生导师配套投入的明确意见，经研究生院审核确认后，报学校研究生奖助金评审领导小组审批。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研究生如对因本细则规定的考核和管理而造成减少、终止发放、收回</w:t>
      </w:r>
      <w:r>
        <w:rPr>
          <w:rFonts w:hint="eastAsia" w:ascii="仿宋" w:hAnsi="仿宋" w:eastAsia="仿宋" w:cs="仿宋"/>
          <w:bCs/>
          <w:sz w:val="32"/>
          <w:szCs w:val="32"/>
        </w:rPr>
        <w:t>奖助金等各项决定有异议，可在收到相关</w:t>
      </w:r>
      <w:r>
        <w:rPr>
          <w:rFonts w:ascii="仿宋" w:hAnsi="仿宋" w:eastAsia="仿宋" w:cs="仿宋"/>
          <w:bCs/>
          <w:sz w:val="32"/>
          <w:szCs w:val="32"/>
        </w:rPr>
        <w:t>通知后</w:t>
      </w:r>
      <w:r>
        <w:rPr>
          <w:rFonts w:hint="eastAsia" w:ascii="仿宋_GB2312" w:hAnsi="宋体" w:eastAsia="仿宋_GB2312" w:cs="宋体"/>
          <w:kern w:val="0"/>
          <w:sz w:val="32"/>
          <w:szCs w:val="32"/>
          <w:lang w:eastAsia="zh-Hans"/>
        </w:rPr>
        <w:t>在</w:t>
      </w:r>
      <w:r>
        <w:rPr>
          <w:rFonts w:ascii="仿宋_GB2312" w:hAnsi="宋体" w:eastAsia="仿宋_GB2312" w:cs="宋体"/>
          <w:kern w:val="0"/>
          <w:sz w:val="32"/>
          <w:szCs w:val="32"/>
          <w:lang w:eastAsia="zh-Hans"/>
        </w:rPr>
        <w:t>3</w:t>
      </w:r>
      <w:r>
        <w:rPr>
          <w:rFonts w:hint="eastAsia" w:ascii="仿宋_GB2312" w:hAnsi="宋体" w:eastAsia="仿宋_GB2312" w:cs="宋体"/>
          <w:kern w:val="0"/>
          <w:sz w:val="32"/>
          <w:szCs w:val="32"/>
          <w:lang w:eastAsia="zh-Hans"/>
        </w:rPr>
        <w:t>个工作日内向学院提出申诉，由学院</w:t>
      </w:r>
      <w:r>
        <w:rPr>
          <w:rFonts w:hint="eastAsia" w:ascii="仿宋_GB2312" w:hAnsi="宋体" w:eastAsia="仿宋_GB2312" w:cs="宋体"/>
          <w:kern w:val="0"/>
          <w:sz w:val="32"/>
          <w:szCs w:val="32"/>
        </w:rPr>
        <w:t>报研究生院审定，</w:t>
      </w:r>
      <w:r>
        <w:rPr>
          <w:rFonts w:ascii="仿宋" w:hAnsi="仿宋" w:eastAsia="仿宋" w:cs="仿宋"/>
          <w:bCs/>
          <w:sz w:val="32"/>
          <w:szCs w:val="32"/>
        </w:rPr>
        <w:t>并提交相关证明材料。</w:t>
      </w:r>
    </w:p>
    <w:p>
      <w:pPr>
        <w:spacing w:line="360" w:lineRule="auto"/>
        <w:ind w:firstLine="640" w:firstLineChars="200"/>
        <w:rPr>
          <w:rFonts w:ascii="黑体" w:hAnsi="黑体" w:eastAsia="黑体" w:cs="仿宋"/>
          <w:bCs/>
          <w:sz w:val="32"/>
          <w:szCs w:val="32"/>
          <w:highlight w:val="yellow"/>
        </w:rPr>
      </w:pPr>
    </w:p>
    <w:p>
      <w:pPr>
        <w:spacing w:line="360" w:lineRule="auto"/>
        <w:ind w:firstLine="640" w:firstLineChars="200"/>
        <w:jc w:val="center"/>
        <w:rPr>
          <w:rFonts w:ascii="黑体" w:hAnsi="黑体" w:eastAsia="黑体" w:cs="仿宋"/>
          <w:bCs/>
          <w:sz w:val="32"/>
          <w:szCs w:val="32"/>
        </w:rPr>
      </w:pPr>
      <w:r>
        <w:rPr>
          <w:rFonts w:hint="eastAsia" w:ascii="黑体" w:hAnsi="黑体" w:eastAsia="黑体" w:cs="仿宋"/>
          <w:bCs/>
          <w:sz w:val="32"/>
          <w:szCs w:val="32"/>
        </w:rPr>
        <w:t>第四章</w:t>
      </w:r>
      <w:r>
        <w:rPr>
          <w:rFonts w:ascii="黑体" w:hAnsi="黑体" w:eastAsia="黑体" w:cs="仿宋"/>
          <w:bCs/>
          <w:sz w:val="32"/>
          <w:szCs w:val="32"/>
        </w:rPr>
        <w:t xml:space="preserve"> </w:t>
      </w:r>
      <w:r>
        <w:rPr>
          <w:rFonts w:hint="eastAsia" w:ascii="黑体" w:hAnsi="黑体" w:eastAsia="黑体" w:cs="仿宋"/>
          <w:bCs/>
          <w:sz w:val="32"/>
          <w:szCs w:val="32"/>
        </w:rPr>
        <w:t>组织实施与监督问责</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w:t>
      </w:r>
      <w:r>
        <w:rPr>
          <w:rFonts w:hint="eastAsia" w:ascii="仿宋" w:hAnsi="仿宋" w:eastAsia="仿宋" w:cs="仿宋"/>
          <w:bCs/>
          <w:sz w:val="32"/>
          <w:szCs w:val="32"/>
        </w:rPr>
        <w:t>学院</w:t>
      </w:r>
      <w:r>
        <w:rPr>
          <w:rFonts w:ascii="仿宋" w:hAnsi="仿宋" w:eastAsia="仿宋" w:cs="仿宋"/>
          <w:bCs/>
          <w:sz w:val="32"/>
          <w:szCs w:val="32"/>
        </w:rPr>
        <w:t xml:space="preserve">研究生奖助金评审领导小组负责统筹领导、协调和监督研究生奖助金评审工作，处理研究生对奖助金评审结果的异议等。 </w:t>
      </w:r>
    </w:p>
    <w:p>
      <w:pPr>
        <w:numPr>
          <w:ilvl w:val="0"/>
          <w:numId w:val="2"/>
        </w:numPr>
        <w:spacing w:line="360" w:lineRule="auto"/>
        <w:ind w:left="0" w:firstLine="640" w:firstLineChars="200"/>
        <w:rPr>
          <w:rFonts w:ascii="仿宋" w:hAnsi="仿宋" w:eastAsia="仿宋" w:cs="仿宋"/>
          <w:bCs/>
          <w:sz w:val="32"/>
          <w:szCs w:val="32"/>
        </w:rPr>
      </w:pPr>
      <w:r>
        <w:rPr>
          <w:rFonts w:hint="eastAsia" w:ascii="仿宋" w:hAnsi="仿宋" w:eastAsia="仿宋" w:cs="仿宋"/>
          <w:bCs/>
          <w:sz w:val="32"/>
          <w:szCs w:val="32"/>
          <w:lang w:eastAsia="zh-Hans"/>
        </w:rPr>
        <w:t>学院</w:t>
      </w:r>
      <w:r>
        <w:rPr>
          <w:rFonts w:ascii="仿宋" w:hAnsi="仿宋" w:eastAsia="仿宋" w:cs="仿宋"/>
          <w:bCs/>
          <w:sz w:val="32"/>
          <w:szCs w:val="32"/>
        </w:rPr>
        <w:t>研究生奖助金评审委员会，负责本</w:t>
      </w:r>
      <w:r>
        <w:rPr>
          <w:rFonts w:hint="eastAsia" w:ascii="仿宋" w:hAnsi="仿宋" w:eastAsia="仿宋" w:cs="仿宋"/>
          <w:bCs/>
          <w:sz w:val="32"/>
          <w:szCs w:val="32"/>
          <w:lang w:eastAsia="zh-Hans"/>
        </w:rPr>
        <w:t>学院</w:t>
      </w:r>
      <w:r>
        <w:rPr>
          <w:rFonts w:ascii="仿宋" w:hAnsi="仿宋" w:eastAsia="仿宋" w:cs="仿宋"/>
          <w:bCs/>
          <w:sz w:val="32"/>
          <w:szCs w:val="32"/>
        </w:rPr>
        <w:t>研究生奖助金的申请组织、初步评审等工作。评审委员会委员应以</w:t>
      </w:r>
      <w:r>
        <w:rPr>
          <w:rFonts w:hint="eastAsia" w:ascii="仿宋" w:hAnsi="仿宋" w:eastAsia="仿宋" w:cs="仿宋"/>
          <w:bCs/>
          <w:sz w:val="32"/>
          <w:szCs w:val="32"/>
        </w:rPr>
        <w:t>学院</w:t>
      </w:r>
      <w:r>
        <w:rPr>
          <w:rFonts w:ascii="仿宋" w:hAnsi="仿宋" w:eastAsia="仿宋" w:cs="仿宋"/>
          <w:bCs/>
          <w:sz w:val="32"/>
          <w:szCs w:val="32"/>
        </w:rPr>
        <w:t>教育与学位委员会成员为主，同时应有分管学生工作的领</w:t>
      </w:r>
      <w:r>
        <w:rPr>
          <w:rFonts w:hint="eastAsia" w:ascii="仿宋" w:hAnsi="仿宋" w:eastAsia="仿宋" w:cs="仿宋"/>
          <w:bCs/>
          <w:sz w:val="32"/>
          <w:szCs w:val="32"/>
        </w:rPr>
        <w:t>导和研究生代表各一名，评审委员会组成人</w:t>
      </w:r>
      <w:r>
        <w:rPr>
          <w:rFonts w:ascii="仿宋" w:hAnsi="仿宋" w:eastAsia="仿宋" w:cs="仿宋"/>
          <w:bCs/>
          <w:sz w:val="32"/>
          <w:szCs w:val="32"/>
        </w:rPr>
        <w:t>数原则上不少于5人。评审采用实名投票方式，出席评审会议委员人数应不少于委员总人数的三分之二，评审结果获得三分之二以上到会委员同意，方为通过。</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评审和管理工作中涉及到的有关人员应当客观、负责地提供、核对真实情况和数据。</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评审和管理工作中有关人员应当遵守工作纪律：不准干扰或妨碍评审工作；不准泄露评审工作机密；严格执行回避制度。造成严重不良影响和学校损失的，依法依规追究有关人员责任；构成违纪的，给予纪律处分。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加强评审工作监督。有关人员应当坚持公道正派、实事求是的原则，认真受理师生员工的异议，</w:t>
      </w:r>
      <w:r>
        <w:rPr>
          <w:rFonts w:hint="eastAsia" w:ascii="仿宋" w:hAnsi="仿宋" w:eastAsia="仿宋" w:cs="仿宋"/>
          <w:bCs/>
          <w:sz w:val="32"/>
          <w:szCs w:val="32"/>
        </w:rPr>
        <w:t>按照职责及时核查和处理相关异议。</w:t>
      </w:r>
    </w:p>
    <w:p>
      <w:pPr>
        <w:spacing w:line="360" w:lineRule="auto"/>
        <w:ind w:firstLine="640" w:firstLineChars="200"/>
        <w:rPr>
          <w:rFonts w:ascii="仿宋" w:hAnsi="仿宋" w:eastAsia="仿宋" w:cs="仿宋"/>
          <w:bCs/>
          <w:sz w:val="32"/>
          <w:szCs w:val="32"/>
        </w:rPr>
      </w:pPr>
    </w:p>
    <w:p>
      <w:pPr>
        <w:spacing w:line="360" w:lineRule="auto"/>
        <w:ind w:firstLine="640" w:firstLineChars="200"/>
        <w:jc w:val="center"/>
        <w:rPr>
          <w:rFonts w:ascii="黑体" w:hAnsi="黑体" w:eastAsia="黑体" w:cs="仿宋"/>
          <w:sz w:val="32"/>
          <w:szCs w:val="32"/>
        </w:rPr>
      </w:pPr>
      <w:r>
        <w:rPr>
          <w:rFonts w:hint="eastAsia" w:ascii="黑体" w:hAnsi="黑体" w:eastAsia="黑体" w:cs="仿宋"/>
          <w:bCs/>
          <w:sz w:val="32"/>
          <w:szCs w:val="32"/>
        </w:rPr>
        <w:t>第五章 附则</w:t>
      </w:r>
    </w:p>
    <w:p>
      <w:pPr>
        <w:numPr>
          <w:ilvl w:val="0"/>
          <w:numId w:val="2"/>
        </w:numPr>
        <w:spacing w:line="360" w:lineRule="auto"/>
        <w:ind w:left="0" w:firstLine="640" w:firstLineChars="200"/>
        <w:rPr>
          <w:rFonts w:ascii="仿宋" w:hAnsi="仿宋" w:eastAsia="仿宋" w:cs="仿宋"/>
          <w:sz w:val="32"/>
          <w:szCs w:val="32"/>
        </w:rPr>
      </w:pPr>
      <w:r>
        <w:rPr>
          <w:rFonts w:hint="eastAsia" w:ascii="仿宋" w:hAnsi="仿宋" w:eastAsia="仿宋" w:cs="仿宋"/>
          <w:sz w:val="32"/>
          <w:szCs w:val="32"/>
        </w:rPr>
        <w:t xml:space="preserve"> 本细则解释权属于外国语学院学生工作办公室。 </w:t>
      </w:r>
    </w:p>
    <w:p>
      <w:pPr>
        <w:numPr>
          <w:ilvl w:val="0"/>
          <w:numId w:val="2"/>
        </w:numPr>
        <w:spacing w:line="360" w:lineRule="auto"/>
        <w:ind w:left="0" w:firstLine="640" w:firstLineChars="200"/>
        <w:rPr>
          <w:rFonts w:ascii="仿宋" w:hAnsi="仿宋" w:eastAsia="仿宋" w:cs="仿宋"/>
          <w:sz w:val="32"/>
          <w:szCs w:val="32"/>
        </w:rPr>
      </w:pPr>
      <w:r>
        <w:rPr>
          <w:rFonts w:hint="eastAsia" w:ascii="仿宋" w:hAnsi="仿宋" w:eastAsia="仿宋" w:cs="仿宋"/>
          <w:sz w:val="32"/>
          <w:szCs w:val="32"/>
        </w:rPr>
        <w:t xml:space="preserve"> 本细则由外国语学院学生工作办公室负责修订。 </w:t>
      </w:r>
    </w:p>
    <w:p>
      <w:pPr>
        <w:numPr>
          <w:ilvl w:val="0"/>
          <w:numId w:val="2"/>
        </w:numPr>
        <w:ind w:left="0" w:firstLine="640" w:firstLineChars="200"/>
        <w:jc w:val="left"/>
        <w:rPr>
          <w:rFonts w:ascii="仿宋" w:hAnsi="仿宋" w:eastAsia="仿宋" w:cs="仿宋"/>
          <w:sz w:val="32"/>
          <w:szCs w:val="32"/>
          <w:highlight w:val="none"/>
        </w:rPr>
      </w:pPr>
      <w:r>
        <w:rPr>
          <w:rFonts w:hint="eastAsia" w:ascii="仿宋" w:hAnsi="仿宋" w:eastAsia="仿宋" w:cs="仿宋"/>
          <w:sz w:val="32"/>
          <w:szCs w:val="32"/>
        </w:rPr>
        <w:t xml:space="preserve"> 本细则自颁布之日起施行，原有《外国语学院研究生奖助金管理实施细</w:t>
      </w:r>
      <w:r>
        <w:rPr>
          <w:rFonts w:hint="eastAsia" w:ascii="仿宋" w:hAnsi="仿宋" w:eastAsia="仿宋" w:cs="仿宋"/>
          <w:sz w:val="32"/>
          <w:szCs w:val="32"/>
          <w:highlight w:val="none"/>
        </w:rPr>
        <w:t>则》（</w:t>
      </w:r>
      <w:r>
        <w:rPr>
          <w:rFonts w:ascii="仿宋" w:hAnsi="仿宋" w:eastAsia="仿宋" w:cs="仿宋"/>
          <w:sz w:val="32"/>
          <w:szCs w:val="32"/>
          <w:highlight w:val="none"/>
        </w:rPr>
        <w:t>20</w:t>
      </w:r>
      <w:r>
        <w:rPr>
          <w:rFonts w:hint="eastAsia" w:ascii="仿宋" w:hAnsi="仿宋" w:eastAsia="仿宋" w:cs="仿宋"/>
          <w:sz w:val="32"/>
          <w:szCs w:val="32"/>
          <w:highlight w:val="none"/>
        </w:rPr>
        <w:t>20年</w:t>
      </w:r>
      <w:r>
        <w:rPr>
          <w:rFonts w:ascii="仿宋" w:hAnsi="仿宋" w:eastAsia="仿宋" w:cs="仿宋"/>
          <w:sz w:val="32"/>
          <w:szCs w:val="32"/>
          <w:highlight w:val="none"/>
        </w:rPr>
        <w:t>修订版）</w:t>
      </w:r>
      <w:r>
        <w:rPr>
          <w:rFonts w:hint="eastAsia" w:ascii="仿宋" w:hAnsi="仿宋" w:eastAsia="仿宋" w:cs="仿宋"/>
          <w:sz w:val="32"/>
          <w:szCs w:val="32"/>
          <w:highlight w:val="none"/>
        </w:rPr>
        <w:t>同步废止。</w:t>
      </w:r>
    </w:p>
    <w:p>
      <w:pPr>
        <w:widowControl/>
        <w:wordWrap w:val="0"/>
        <w:spacing w:line="360" w:lineRule="auto"/>
        <w:ind w:right="105" w:firstLine="480"/>
        <w:jc w:val="right"/>
        <w:rPr>
          <w:rFonts w:ascii="仿宋_GB2312" w:hAnsi="宋体" w:eastAsia="仿宋_GB2312" w:cs="宋体"/>
          <w:kern w:val="0"/>
          <w:sz w:val="32"/>
          <w:szCs w:val="32"/>
          <w:highlight w:val="none"/>
        </w:rPr>
      </w:pPr>
    </w:p>
    <w:p>
      <w:pPr>
        <w:widowControl/>
        <w:wordWrap w:val="0"/>
        <w:spacing w:line="360" w:lineRule="auto"/>
        <w:ind w:right="105" w:firstLine="480"/>
        <w:jc w:val="right"/>
        <w:rPr>
          <w:rFonts w:ascii="仿宋_GB2312" w:hAnsi="宋体" w:eastAsia="仿宋_GB2312" w:cs="宋体"/>
          <w:kern w:val="0"/>
          <w:sz w:val="32"/>
          <w:szCs w:val="32"/>
          <w:highlight w:val="none"/>
        </w:rPr>
      </w:pPr>
    </w:p>
    <w:p>
      <w:pPr>
        <w:widowControl/>
        <w:wordWrap w:val="0"/>
        <w:spacing w:line="360" w:lineRule="auto"/>
        <w:ind w:right="105" w:firstLine="480"/>
        <w:jc w:val="right"/>
        <w:rPr>
          <w:rFonts w:ascii="仿宋_GB2312" w:hAnsi="宋体" w:eastAsia="仿宋_GB2312" w:cs="宋体"/>
          <w:kern w:val="0"/>
          <w:sz w:val="32"/>
          <w:szCs w:val="32"/>
          <w:highlight w:val="none"/>
          <w:lang w:val="fr-FR"/>
        </w:rPr>
      </w:pPr>
      <w:r>
        <w:rPr>
          <w:rFonts w:hint="eastAsia" w:ascii="仿宋_GB2312" w:hAnsi="宋体" w:eastAsia="仿宋_GB2312" w:cs="宋体"/>
          <w:kern w:val="0"/>
          <w:sz w:val="32"/>
          <w:szCs w:val="32"/>
          <w:highlight w:val="none"/>
        </w:rPr>
        <w:t>中山大学外国语学院</w:t>
      </w:r>
    </w:p>
    <w:p>
      <w:pPr>
        <w:spacing w:line="360" w:lineRule="auto"/>
        <w:jc w:val="right"/>
        <w:rPr>
          <w:rFonts w:ascii="仿宋" w:hAnsi="仿宋" w:eastAsia="仿宋" w:cs="仿宋"/>
          <w:sz w:val="32"/>
          <w:szCs w:val="32"/>
          <w:highlight w:val="none"/>
        </w:rPr>
      </w:pPr>
      <w:r>
        <w:rPr>
          <w:rFonts w:hint="eastAsia" w:ascii="仿宋_GB2312" w:hAnsi="宋体" w:eastAsia="仿宋_GB2312" w:cs="宋体"/>
          <w:kern w:val="0"/>
          <w:sz w:val="32"/>
          <w:szCs w:val="32"/>
          <w:highlight w:val="none"/>
        </w:rPr>
        <w:t>20</w:t>
      </w:r>
      <w:r>
        <w:rPr>
          <w:rFonts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rPr>
        <w:t>2年9月1</w:t>
      </w:r>
      <w:r>
        <w:rPr>
          <w:rFonts w:hint="eastAsia" w:ascii="仿宋_GB2312" w:hAnsi="宋体" w:eastAsia="仿宋_GB2312" w:cs="宋体"/>
          <w:kern w:val="0"/>
          <w:sz w:val="32"/>
          <w:szCs w:val="32"/>
          <w:highlight w:val="none"/>
          <w:lang w:val="en-US" w:eastAsia="zh-CN"/>
        </w:rPr>
        <w:t>5</w:t>
      </w:r>
      <w:r>
        <w:rPr>
          <w:rFonts w:hint="eastAsia" w:ascii="仿宋_GB2312" w:hAnsi="宋体" w:eastAsia="仿宋_GB2312" w:cs="宋体"/>
          <w:kern w:val="0"/>
          <w:sz w:val="32"/>
          <w:szCs w:val="32"/>
          <w:highlight w:val="none"/>
        </w:rPr>
        <w:t>日</w:t>
      </w:r>
    </w:p>
    <w:sectPr>
      <w:headerReference r:id="rId3" w:type="default"/>
      <w:footerReference r:id="rId4" w:type="default"/>
      <w:pgSz w:w="11906" w:h="16838"/>
      <w:pgMar w:top="2154" w:right="1531" w:bottom="215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7954"/>
    </w:sdtPr>
    <w:sdtContent>
      <w:p>
        <w:pPr>
          <w:pStyle w:val="4"/>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8FAAA"/>
    <w:multiLevelType w:val="singleLevel"/>
    <w:tmpl w:val="84D8FAAA"/>
    <w:lvl w:ilvl="0" w:tentative="0">
      <w:start w:val="12"/>
      <w:numFmt w:val="chineseCounting"/>
      <w:suff w:val="space"/>
      <w:lvlText w:val="第%1条"/>
      <w:lvlJc w:val="left"/>
      <w:pPr>
        <w:ind w:left="-643"/>
      </w:pPr>
      <w:rPr>
        <w:rFonts w:hint="eastAsia"/>
        <w:b/>
        <w:bCs/>
      </w:rPr>
    </w:lvl>
  </w:abstractNum>
  <w:abstractNum w:abstractNumId="1">
    <w:nsid w:val="45176936"/>
    <w:multiLevelType w:val="singleLevel"/>
    <w:tmpl w:val="45176936"/>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lYTNkNzY5OTU3NTZlNDBhNjM2ZWEyMDAyMTA0NzUifQ=="/>
  </w:docVars>
  <w:rsids>
    <w:rsidRoot w:val="004A2189"/>
    <w:rsid w:val="00002D2E"/>
    <w:rsid w:val="00003E90"/>
    <w:rsid w:val="000119FF"/>
    <w:rsid w:val="00013195"/>
    <w:rsid w:val="00016679"/>
    <w:rsid w:val="000325ED"/>
    <w:rsid w:val="000342CE"/>
    <w:rsid w:val="000452BB"/>
    <w:rsid w:val="000579E6"/>
    <w:rsid w:val="00071312"/>
    <w:rsid w:val="000821E7"/>
    <w:rsid w:val="00090984"/>
    <w:rsid w:val="00091D24"/>
    <w:rsid w:val="000B7AEB"/>
    <w:rsid w:val="000D554C"/>
    <w:rsid w:val="000E2AA3"/>
    <w:rsid w:val="000F0BE0"/>
    <w:rsid w:val="000F461D"/>
    <w:rsid w:val="001018FC"/>
    <w:rsid w:val="001179A9"/>
    <w:rsid w:val="00126882"/>
    <w:rsid w:val="001274F5"/>
    <w:rsid w:val="001514A3"/>
    <w:rsid w:val="00163BB2"/>
    <w:rsid w:val="00174D64"/>
    <w:rsid w:val="00197D45"/>
    <w:rsid w:val="001A62FD"/>
    <w:rsid w:val="001B679D"/>
    <w:rsid w:val="001C1B99"/>
    <w:rsid w:val="001C5C28"/>
    <w:rsid w:val="001E53C8"/>
    <w:rsid w:val="001F3C64"/>
    <w:rsid w:val="002143D1"/>
    <w:rsid w:val="00230587"/>
    <w:rsid w:val="00243110"/>
    <w:rsid w:val="0024598C"/>
    <w:rsid w:val="00250B2A"/>
    <w:rsid w:val="0025645D"/>
    <w:rsid w:val="002658FA"/>
    <w:rsid w:val="0026706A"/>
    <w:rsid w:val="00277317"/>
    <w:rsid w:val="002909DF"/>
    <w:rsid w:val="002934F0"/>
    <w:rsid w:val="002B1D17"/>
    <w:rsid w:val="002B5028"/>
    <w:rsid w:val="002B649D"/>
    <w:rsid w:val="002C0C43"/>
    <w:rsid w:val="002C43D7"/>
    <w:rsid w:val="002D53A9"/>
    <w:rsid w:val="002E5A5C"/>
    <w:rsid w:val="002F2E9F"/>
    <w:rsid w:val="00312C95"/>
    <w:rsid w:val="0033001E"/>
    <w:rsid w:val="003308FC"/>
    <w:rsid w:val="0033358C"/>
    <w:rsid w:val="003347C9"/>
    <w:rsid w:val="003447D5"/>
    <w:rsid w:val="00355275"/>
    <w:rsid w:val="003707B3"/>
    <w:rsid w:val="00377724"/>
    <w:rsid w:val="00382F4E"/>
    <w:rsid w:val="00387694"/>
    <w:rsid w:val="00391D3F"/>
    <w:rsid w:val="0039363F"/>
    <w:rsid w:val="003A613E"/>
    <w:rsid w:val="003B399A"/>
    <w:rsid w:val="003C3E05"/>
    <w:rsid w:val="003C4D16"/>
    <w:rsid w:val="003C537E"/>
    <w:rsid w:val="003C64F0"/>
    <w:rsid w:val="003D703F"/>
    <w:rsid w:val="003D7B5B"/>
    <w:rsid w:val="003E0844"/>
    <w:rsid w:val="003E4D9D"/>
    <w:rsid w:val="004072D1"/>
    <w:rsid w:val="00417F9E"/>
    <w:rsid w:val="00425510"/>
    <w:rsid w:val="00441DDD"/>
    <w:rsid w:val="00451756"/>
    <w:rsid w:val="0045624A"/>
    <w:rsid w:val="004620B8"/>
    <w:rsid w:val="00481DC8"/>
    <w:rsid w:val="00485352"/>
    <w:rsid w:val="00487BD2"/>
    <w:rsid w:val="004953F9"/>
    <w:rsid w:val="004974E3"/>
    <w:rsid w:val="004A2189"/>
    <w:rsid w:val="004B4519"/>
    <w:rsid w:val="004C3A48"/>
    <w:rsid w:val="004E72D0"/>
    <w:rsid w:val="004F1B35"/>
    <w:rsid w:val="004F266B"/>
    <w:rsid w:val="004F5327"/>
    <w:rsid w:val="004F5A21"/>
    <w:rsid w:val="005025F9"/>
    <w:rsid w:val="005069AC"/>
    <w:rsid w:val="00527103"/>
    <w:rsid w:val="0053587B"/>
    <w:rsid w:val="00554147"/>
    <w:rsid w:val="0055666A"/>
    <w:rsid w:val="0056551B"/>
    <w:rsid w:val="00571A55"/>
    <w:rsid w:val="00573220"/>
    <w:rsid w:val="00577AA8"/>
    <w:rsid w:val="005872FB"/>
    <w:rsid w:val="0059242F"/>
    <w:rsid w:val="00593D4C"/>
    <w:rsid w:val="005B2429"/>
    <w:rsid w:val="005B4568"/>
    <w:rsid w:val="005D01BA"/>
    <w:rsid w:val="005D1628"/>
    <w:rsid w:val="005D52A6"/>
    <w:rsid w:val="00621813"/>
    <w:rsid w:val="006262A1"/>
    <w:rsid w:val="00627554"/>
    <w:rsid w:val="00641D4E"/>
    <w:rsid w:val="00661F5C"/>
    <w:rsid w:val="00664181"/>
    <w:rsid w:val="00665A7A"/>
    <w:rsid w:val="00674F32"/>
    <w:rsid w:val="006813E8"/>
    <w:rsid w:val="006832CE"/>
    <w:rsid w:val="006903C6"/>
    <w:rsid w:val="00694696"/>
    <w:rsid w:val="0069679A"/>
    <w:rsid w:val="006B3122"/>
    <w:rsid w:val="006B4AD5"/>
    <w:rsid w:val="006C2F14"/>
    <w:rsid w:val="006E3007"/>
    <w:rsid w:val="006F1A14"/>
    <w:rsid w:val="006F3F22"/>
    <w:rsid w:val="007175EB"/>
    <w:rsid w:val="007217AB"/>
    <w:rsid w:val="0073479F"/>
    <w:rsid w:val="007456F6"/>
    <w:rsid w:val="0075180F"/>
    <w:rsid w:val="00752BD6"/>
    <w:rsid w:val="00762CE1"/>
    <w:rsid w:val="00770C0D"/>
    <w:rsid w:val="0077256E"/>
    <w:rsid w:val="00775328"/>
    <w:rsid w:val="00775B4F"/>
    <w:rsid w:val="007816C6"/>
    <w:rsid w:val="00786A89"/>
    <w:rsid w:val="00795A17"/>
    <w:rsid w:val="007B0995"/>
    <w:rsid w:val="007C19BE"/>
    <w:rsid w:val="007E0EE2"/>
    <w:rsid w:val="007F4EF7"/>
    <w:rsid w:val="00843EAA"/>
    <w:rsid w:val="008451EB"/>
    <w:rsid w:val="008457D9"/>
    <w:rsid w:val="00851ACD"/>
    <w:rsid w:val="00855ACB"/>
    <w:rsid w:val="00863B6A"/>
    <w:rsid w:val="00867C8A"/>
    <w:rsid w:val="00892C08"/>
    <w:rsid w:val="00897DBC"/>
    <w:rsid w:val="008A2D50"/>
    <w:rsid w:val="008A4EEF"/>
    <w:rsid w:val="008B4B4E"/>
    <w:rsid w:val="008C383F"/>
    <w:rsid w:val="008D0990"/>
    <w:rsid w:val="008F2D49"/>
    <w:rsid w:val="008F75DA"/>
    <w:rsid w:val="00926215"/>
    <w:rsid w:val="00930358"/>
    <w:rsid w:val="0093159B"/>
    <w:rsid w:val="00931860"/>
    <w:rsid w:val="009469B4"/>
    <w:rsid w:val="00953364"/>
    <w:rsid w:val="009578CC"/>
    <w:rsid w:val="00962224"/>
    <w:rsid w:val="00962471"/>
    <w:rsid w:val="009643C9"/>
    <w:rsid w:val="0096677C"/>
    <w:rsid w:val="0097036A"/>
    <w:rsid w:val="00971447"/>
    <w:rsid w:val="009721CE"/>
    <w:rsid w:val="00984198"/>
    <w:rsid w:val="009B1796"/>
    <w:rsid w:val="009B2D50"/>
    <w:rsid w:val="009E3605"/>
    <w:rsid w:val="009E6374"/>
    <w:rsid w:val="009F0C67"/>
    <w:rsid w:val="00A0729E"/>
    <w:rsid w:val="00A1125B"/>
    <w:rsid w:val="00A12FD3"/>
    <w:rsid w:val="00A15372"/>
    <w:rsid w:val="00A2438D"/>
    <w:rsid w:val="00A50D0A"/>
    <w:rsid w:val="00A66333"/>
    <w:rsid w:val="00A72209"/>
    <w:rsid w:val="00A734B9"/>
    <w:rsid w:val="00A74D5C"/>
    <w:rsid w:val="00A779D9"/>
    <w:rsid w:val="00A94679"/>
    <w:rsid w:val="00AB28D6"/>
    <w:rsid w:val="00AB51F4"/>
    <w:rsid w:val="00AE22DA"/>
    <w:rsid w:val="00AE60A8"/>
    <w:rsid w:val="00AF41AF"/>
    <w:rsid w:val="00AF5A71"/>
    <w:rsid w:val="00B1400F"/>
    <w:rsid w:val="00B177EB"/>
    <w:rsid w:val="00B2059A"/>
    <w:rsid w:val="00B34559"/>
    <w:rsid w:val="00B52D38"/>
    <w:rsid w:val="00B6284C"/>
    <w:rsid w:val="00B75C15"/>
    <w:rsid w:val="00B766AC"/>
    <w:rsid w:val="00B8068D"/>
    <w:rsid w:val="00B826D5"/>
    <w:rsid w:val="00B861BC"/>
    <w:rsid w:val="00B92115"/>
    <w:rsid w:val="00B925BB"/>
    <w:rsid w:val="00BA45B2"/>
    <w:rsid w:val="00BA4DFD"/>
    <w:rsid w:val="00BB068A"/>
    <w:rsid w:val="00BC1AAC"/>
    <w:rsid w:val="00BC424B"/>
    <w:rsid w:val="00BD3AC1"/>
    <w:rsid w:val="00BD55DD"/>
    <w:rsid w:val="00C04AEC"/>
    <w:rsid w:val="00C12C9B"/>
    <w:rsid w:val="00C20E6A"/>
    <w:rsid w:val="00C30F12"/>
    <w:rsid w:val="00C375AB"/>
    <w:rsid w:val="00C56E2A"/>
    <w:rsid w:val="00C61E28"/>
    <w:rsid w:val="00C657C0"/>
    <w:rsid w:val="00C66B15"/>
    <w:rsid w:val="00CB4F9F"/>
    <w:rsid w:val="00CD70FE"/>
    <w:rsid w:val="00D11F14"/>
    <w:rsid w:val="00D55321"/>
    <w:rsid w:val="00D559E5"/>
    <w:rsid w:val="00D577E3"/>
    <w:rsid w:val="00D60E8E"/>
    <w:rsid w:val="00D624C3"/>
    <w:rsid w:val="00D74AE1"/>
    <w:rsid w:val="00D86ADC"/>
    <w:rsid w:val="00D95E72"/>
    <w:rsid w:val="00DD7996"/>
    <w:rsid w:val="00DE30DA"/>
    <w:rsid w:val="00E14564"/>
    <w:rsid w:val="00E179C7"/>
    <w:rsid w:val="00E21324"/>
    <w:rsid w:val="00E232FB"/>
    <w:rsid w:val="00E44169"/>
    <w:rsid w:val="00E650C3"/>
    <w:rsid w:val="00E7003C"/>
    <w:rsid w:val="00E83397"/>
    <w:rsid w:val="00E859A2"/>
    <w:rsid w:val="00E92BDC"/>
    <w:rsid w:val="00E93F8E"/>
    <w:rsid w:val="00E953E4"/>
    <w:rsid w:val="00EA2506"/>
    <w:rsid w:val="00EB090C"/>
    <w:rsid w:val="00EB33F9"/>
    <w:rsid w:val="00EB698D"/>
    <w:rsid w:val="00ED1EB5"/>
    <w:rsid w:val="00EE1AD6"/>
    <w:rsid w:val="00EF3FCA"/>
    <w:rsid w:val="00F07947"/>
    <w:rsid w:val="00F1071C"/>
    <w:rsid w:val="00F13239"/>
    <w:rsid w:val="00F22BB1"/>
    <w:rsid w:val="00F23244"/>
    <w:rsid w:val="00F31FA3"/>
    <w:rsid w:val="00F42C5E"/>
    <w:rsid w:val="00F62C1F"/>
    <w:rsid w:val="00F71D32"/>
    <w:rsid w:val="00F95B1F"/>
    <w:rsid w:val="00FA1827"/>
    <w:rsid w:val="00FA35E9"/>
    <w:rsid w:val="00FC5691"/>
    <w:rsid w:val="00FD5BF8"/>
    <w:rsid w:val="00FD75E3"/>
    <w:rsid w:val="07D02D8D"/>
    <w:rsid w:val="0BBB73A1"/>
    <w:rsid w:val="0C100988"/>
    <w:rsid w:val="0D482CE2"/>
    <w:rsid w:val="129E7219"/>
    <w:rsid w:val="12E31F48"/>
    <w:rsid w:val="132321CF"/>
    <w:rsid w:val="189E7128"/>
    <w:rsid w:val="1B3B0DB6"/>
    <w:rsid w:val="1C6C5343"/>
    <w:rsid w:val="1D5327CC"/>
    <w:rsid w:val="1F166AD3"/>
    <w:rsid w:val="218A170A"/>
    <w:rsid w:val="29171DC3"/>
    <w:rsid w:val="2C5055A6"/>
    <w:rsid w:val="2C9C7A91"/>
    <w:rsid w:val="2D961F6A"/>
    <w:rsid w:val="312D4402"/>
    <w:rsid w:val="326D0869"/>
    <w:rsid w:val="3BDF6F94"/>
    <w:rsid w:val="3DAE003D"/>
    <w:rsid w:val="3E314B4F"/>
    <w:rsid w:val="3FAF6498"/>
    <w:rsid w:val="44F22E97"/>
    <w:rsid w:val="4A4219E8"/>
    <w:rsid w:val="4F305F50"/>
    <w:rsid w:val="4FEB641B"/>
    <w:rsid w:val="56E014F7"/>
    <w:rsid w:val="5B3255E5"/>
    <w:rsid w:val="628E3832"/>
    <w:rsid w:val="65A007D8"/>
    <w:rsid w:val="66A55018"/>
    <w:rsid w:val="74010987"/>
    <w:rsid w:val="74D53D91"/>
    <w:rsid w:val="79DA2FB2"/>
    <w:rsid w:val="7A21238E"/>
    <w:rsid w:val="7DB45897"/>
    <w:rsid w:val="7F522AE2"/>
    <w:rsid w:val="9F7F44C0"/>
    <w:rsid w:val="AAFEDB78"/>
    <w:rsid w:val="E7DEEC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fls</Company>
  <Pages>13</Pages>
  <Words>5034</Words>
  <Characters>5211</Characters>
  <Lines>40</Lines>
  <Paragraphs>11</Paragraphs>
  <TotalTime>31</TotalTime>
  <ScaleCrop>false</ScaleCrop>
  <LinksUpToDate>false</LinksUpToDate>
  <CharactersWithSpaces>5360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2016-09-06T17:49:00Z</dcterms:created>
  <dc:creator>y</dc:creator>
  <cp:lastModifiedBy>SSSelinà-</cp:lastModifiedBy>
  <cp:lastPrinted>2022-09-13T06:38:00Z</cp:lastPrinted>
  <dcterms:modified xsi:type="dcterms:W3CDTF">2022-09-15T08:14:11Z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EC4EA6E3E5D94362AF965ECD9BEB569A</vt:lpwstr>
  </property>
</Properties>
</file>